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BEF97">
      <w:pPr>
        <w:rPr>
          <w:rFonts w:hint="default" w:ascii="Times New Roman" w:hAnsi="Times New Roman" w:eastAsia="宋体" w:cs="Times New Roman"/>
          <w:color w:val="auto"/>
          <w:sz w:val="36"/>
          <w:szCs w:val="36"/>
          <w:lang w:val="en-US" w:eastAsia="zh-CN"/>
        </w:rPr>
      </w:pPr>
    </w:p>
    <w:p w14:paraId="627D22C9">
      <w:pPr>
        <w:rPr>
          <w:rFonts w:hint="default" w:ascii="Times New Roman" w:hAnsi="Times New Roman" w:eastAsia="宋体" w:cs="Times New Roman"/>
          <w:color w:val="auto"/>
          <w:sz w:val="36"/>
          <w:szCs w:val="36"/>
          <w:highlight w:val="none"/>
        </w:rPr>
      </w:pPr>
    </w:p>
    <w:p w14:paraId="43AFAD9B">
      <w:pPr>
        <w:rPr>
          <w:rFonts w:hint="default" w:ascii="Times New Roman" w:hAnsi="Times New Roman" w:eastAsia="宋体" w:cs="Times New Roman"/>
          <w:color w:val="auto"/>
          <w:sz w:val="36"/>
          <w:szCs w:val="36"/>
          <w:highlight w:val="none"/>
        </w:rPr>
      </w:pPr>
    </w:p>
    <w:p w14:paraId="094ED79E">
      <w:pPr>
        <w:rPr>
          <w:rFonts w:hint="default" w:ascii="Times New Roman" w:hAnsi="Times New Roman" w:eastAsia="宋体" w:cs="Times New Roman"/>
          <w:color w:val="auto"/>
          <w:sz w:val="36"/>
          <w:szCs w:val="36"/>
          <w:highlight w:val="none"/>
        </w:rPr>
      </w:pPr>
    </w:p>
    <w:p w14:paraId="19B4FB5A">
      <w:pPr>
        <w:adjustRightInd w:val="0"/>
        <w:snapToGrid w:val="0"/>
        <w:jc w:val="center"/>
        <w:outlineLvl w:val="9"/>
        <w:rPr>
          <w:rFonts w:hint="default" w:ascii="Times New Roman" w:hAnsi="Times New Roman" w:eastAsia="宋体" w:cs="Times New Roman"/>
          <w:bCs/>
          <w:color w:val="auto"/>
          <w:sz w:val="72"/>
          <w:szCs w:val="72"/>
          <w:highlight w:val="none"/>
        </w:rPr>
      </w:pPr>
      <w:r>
        <w:rPr>
          <w:rFonts w:hint="default" w:ascii="Times New Roman" w:hAnsi="Times New Roman" w:eastAsia="宋体" w:cs="Times New Roman"/>
          <w:bCs/>
          <w:color w:val="auto"/>
          <w:sz w:val="72"/>
          <w:szCs w:val="72"/>
          <w:highlight w:val="none"/>
        </w:rPr>
        <w:t>建设项目环境影响报告表</w:t>
      </w:r>
    </w:p>
    <w:p w14:paraId="20138F9D">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340F7264">
      <w:pPr>
        <w:adjustRightInd w:val="0"/>
        <w:snapToGrid w:val="0"/>
        <w:spacing w:line="288" w:lineRule="auto"/>
        <w:jc w:val="center"/>
        <w:outlineLvl w:val="9"/>
        <w:rPr>
          <w:rFonts w:hint="default" w:ascii="Times New Roman" w:hAnsi="Times New Roman" w:eastAsia="宋体" w:cs="Times New Roman"/>
          <w:color w:val="auto"/>
          <w:kern w:val="44"/>
          <w:sz w:val="44"/>
          <w:szCs w:val="44"/>
          <w:highlight w:val="none"/>
        </w:rPr>
      </w:pPr>
    </w:p>
    <w:p w14:paraId="32884704">
      <w:pPr>
        <w:jc w:val="center"/>
        <w:rPr>
          <w:rFonts w:hint="default" w:ascii="Times New Roman" w:hAnsi="Times New Roman" w:eastAsia="宋体" w:cs="Times New Roman"/>
          <w:color w:val="auto"/>
          <w:sz w:val="52"/>
          <w:szCs w:val="52"/>
          <w:highlight w:val="none"/>
        </w:rPr>
      </w:pPr>
    </w:p>
    <w:p w14:paraId="6995D990">
      <w:pPr>
        <w:ind w:firstLine="1040"/>
        <w:rPr>
          <w:rFonts w:hint="default" w:ascii="Times New Roman" w:hAnsi="Times New Roman" w:eastAsia="宋体" w:cs="Times New Roman"/>
          <w:color w:val="auto"/>
          <w:sz w:val="44"/>
          <w:szCs w:val="44"/>
          <w:highlight w:val="none"/>
        </w:rPr>
      </w:pPr>
    </w:p>
    <w:p w14:paraId="289E14BC">
      <w:pPr>
        <w:pStyle w:val="27"/>
        <w:rPr>
          <w:rFonts w:hint="default" w:ascii="Times New Roman" w:hAnsi="Times New Roman" w:eastAsia="宋体" w:cs="Times New Roman"/>
          <w:color w:val="auto"/>
          <w:sz w:val="44"/>
          <w:szCs w:val="44"/>
          <w:highlight w:val="none"/>
        </w:rPr>
      </w:pPr>
    </w:p>
    <w:p w14:paraId="23A2CC5C">
      <w:pPr>
        <w:rPr>
          <w:rFonts w:hint="default" w:ascii="Times New Roman" w:hAnsi="Times New Roman" w:eastAsia="宋体" w:cs="Times New Roman"/>
          <w:color w:val="auto"/>
          <w:highlight w:val="none"/>
        </w:rPr>
      </w:pPr>
    </w:p>
    <w:p w14:paraId="685463A7">
      <w:pPr>
        <w:pStyle w:val="27"/>
        <w:rPr>
          <w:rFonts w:hint="default" w:ascii="Times New Roman" w:hAnsi="Times New Roman" w:eastAsia="宋体" w:cs="Times New Roman"/>
          <w:color w:val="auto"/>
          <w:sz w:val="44"/>
          <w:szCs w:val="44"/>
          <w:highlight w:val="none"/>
        </w:rPr>
      </w:pPr>
    </w:p>
    <w:p w14:paraId="4519617F">
      <w:pPr>
        <w:rPr>
          <w:rFonts w:hint="default" w:ascii="Times New Roman" w:hAnsi="Times New Roman" w:eastAsia="宋体" w:cs="Times New Roman"/>
          <w:color w:val="auto"/>
          <w:highlight w:val="none"/>
        </w:rPr>
      </w:pPr>
    </w:p>
    <w:p w14:paraId="69D08299">
      <w:pPr>
        <w:ind w:firstLine="1040"/>
        <w:rPr>
          <w:rFonts w:hint="default" w:ascii="Times New Roman" w:hAnsi="Times New Roman" w:eastAsia="宋体" w:cs="Times New Roman"/>
          <w:color w:val="auto"/>
          <w:sz w:val="44"/>
          <w:szCs w:val="44"/>
          <w:highlight w:val="none"/>
        </w:rPr>
      </w:pPr>
    </w:p>
    <w:p w14:paraId="483F0CC8">
      <w:pPr>
        <w:adjustRightInd w:val="0"/>
        <w:snapToGrid w:val="0"/>
        <w:spacing w:line="360" w:lineRule="auto"/>
        <w:ind w:left="1800" w:hanging="1800" w:hangingChars="500"/>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z w:val="36"/>
          <w:szCs w:val="36"/>
          <w:highlight w:val="none"/>
        </w:rPr>
        <w:t>项目名称：</w:t>
      </w:r>
      <w:r>
        <w:rPr>
          <w:rFonts w:hint="eastAsia" w:cs="Times New Roman"/>
          <w:color w:val="auto"/>
          <w:sz w:val="36"/>
          <w:szCs w:val="36"/>
          <w:highlight w:val="none"/>
          <w:u w:val="single"/>
          <w:lang w:val="en-US" w:eastAsia="zh-CN"/>
        </w:rPr>
        <w:t xml:space="preserve">      先进钛合金材料产业园          </w:t>
      </w:r>
    </w:p>
    <w:p w14:paraId="08EDA467">
      <w:pPr>
        <w:adjustRightInd w:val="0"/>
        <w:snapToGrid w:val="0"/>
        <w:spacing w:line="360" w:lineRule="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lang w:val="en-US" w:eastAsia="zh-CN"/>
        </w:rPr>
        <w:t xml:space="preserve"> </w:t>
      </w:r>
      <w:r>
        <w:rPr>
          <w:rFonts w:hint="eastAsia" w:cs="Times New Roman"/>
          <w:color w:val="auto"/>
          <w:sz w:val="36"/>
          <w:szCs w:val="36"/>
          <w:highlight w:val="none"/>
          <w:u w:val="single"/>
          <w:lang w:val="en-US" w:eastAsia="zh-CN"/>
        </w:rPr>
        <w:t xml:space="preserve">陕西星汉北辰新材料科技有限公司 </w:t>
      </w:r>
    </w:p>
    <w:p w14:paraId="0B69F00F">
      <w:pPr>
        <w:adjustRightInd w:val="0"/>
        <w:snapToGrid w:val="0"/>
        <w:spacing w:line="360" w:lineRule="auto"/>
        <w:rPr>
          <w:rFonts w:hint="default" w:ascii="Times New Roman" w:hAnsi="Times New Roman" w:eastAsia="宋体" w:cs="Times New Roman"/>
          <w:color w:val="auto"/>
          <w:sz w:val="36"/>
          <w:szCs w:val="36"/>
          <w:highlight w:val="none"/>
          <w:u w:val="single"/>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2024年</w:t>
      </w:r>
      <w:r>
        <w:rPr>
          <w:rFonts w:hint="eastAsia" w:cs="Times New Roman"/>
          <w:color w:val="auto"/>
          <w:sz w:val="36"/>
          <w:szCs w:val="36"/>
          <w:highlight w:val="none"/>
          <w:u w:val="single"/>
          <w:lang w:val="en-US" w:eastAsia="zh-CN"/>
        </w:rPr>
        <w:t>11</w:t>
      </w:r>
      <w:r>
        <w:rPr>
          <w:rFonts w:hint="default" w:ascii="Times New Roman" w:hAnsi="Times New Roman" w:eastAsia="宋体" w:cs="Times New Roman"/>
          <w:color w:val="auto"/>
          <w:sz w:val="36"/>
          <w:szCs w:val="36"/>
          <w:highlight w:val="none"/>
          <w:u w:val="single"/>
          <w:lang w:val="en-US" w:eastAsia="zh-CN"/>
        </w:rPr>
        <w:t>月</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r>
        <w:rPr>
          <w:rFonts w:hint="eastAsia"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p>
    <w:p w14:paraId="399FFC38">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0" w:name="_Hlk57884087"/>
    </w:p>
    <w:p w14:paraId="7C7C00A3">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1F215B52">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7E1C2811">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72E9588E">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0"/>
    <w:p w14:paraId="78F6C46B">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4E07DFBD">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62D56B55">
      <w:pPr>
        <w:adjustRightInd w:val="0"/>
        <w:snapToGrid w:val="0"/>
        <w:spacing w:line="288" w:lineRule="auto"/>
        <w:rPr>
          <w:rFonts w:hint="default" w:ascii="Times New Roman" w:hAnsi="Times New Roman" w:eastAsia="宋体" w:cs="Times New Roman"/>
          <w:color w:val="auto"/>
          <w:sz w:val="36"/>
          <w:szCs w:val="36"/>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77219966">
      <w:pPr>
        <w:pStyle w:val="23"/>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一、建设项目基本情况</w:t>
      </w:r>
    </w:p>
    <w:tbl>
      <w:tblPr>
        <w:tblStyle w:val="28"/>
        <w:tblW w:w="94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96"/>
        <w:gridCol w:w="2121"/>
        <w:gridCol w:w="2513"/>
        <w:gridCol w:w="3275"/>
      </w:tblGrid>
      <w:tr w14:paraId="7C372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496" w:type="dxa"/>
            <w:noWrap w:val="0"/>
            <w:tcMar>
              <w:top w:w="16" w:type="dxa"/>
              <w:left w:w="16" w:type="dxa"/>
              <w:right w:w="16" w:type="dxa"/>
            </w:tcMar>
            <w:vAlign w:val="center"/>
          </w:tcPr>
          <w:p w14:paraId="4ED06F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909" w:type="dxa"/>
            <w:gridSpan w:val="3"/>
            <w:noWrap w:val="0"/>
            <w:vAlign w:val="center"/>
          </w:tcPr>
          <w:p w14:paraId="1AFAB5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先进钛合金材料产业园</w:t>
            </w:r>
          </w:p>
        </w:tc>
      </w:tr>
      <w:tr w14:paraId="57039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496" w:type="dxa"/>
            <w:noWrap w:val="0"/>
            <w:tcMar>
              <w:top w:w="16" w:type="dxa"/>
              <w:left w:w="16" w:type="dxa"/>
              <w:right w:w="16" w:type="dxa"/>
            </w:tcMar>
            <w:vAlign w:val="center"/>
          </w:tcPr>
          <w:p w14:paraId="0E3D30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909" w:type="dxa"/>
            <w:gridSpan w:val="3"/>
            <w:noWrap w:val="0"/>
            <w:vAlign w:val="center"/>
          </w:tcPr>
          <w:p w14:paraId="0AF466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2310-611205-04-01-855179</w:t>
            </w:r>
          </w:p>
        </w:tc>
      </w:tr>
      <w:tr w14:paraId="56FED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496" w:type="dxa"/>
            <w:noWrap w:val="0"/>
            <w:tcMar>
              <w:top w:w="16" w:type="dxa"/>
              <w:left w:w="16" w:type="dxa"/>
              <w:right w:w="16" w:type="dxa"/>
            </w:tcMar>
            <w:vAlign w:val="center"/>
          </w:tcPr>
          <w:p w14:paraId="30A90A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w:t>
            </w:r>
          </w:p>
          <w:p w14:paraId="0BEAEE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联系人</w:t>
            </w:r>
          </w:p>
        </w:tc>
        <w:tc>
          <w:tcPr>
            <w:tcW w:w="2121" w:type="dxa"/>
            <w:noWrap w:val="0"/>
            <w:vAlign w:val="center"/>
          </w:tcPr>
          <w:p w14:paraId="479882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color w:val="auto"/>
                <w:spacing w:val="-4"/>
                <w:sz w:val="24"/>
                <w:szCs w:val="24"/>
                <w:highlight w:val="none"/>
              </w:rPr>
              <w:t>房皆超</w:t>
            </w:r>
          </w:p>
        </w:tc>
        <w:tc>
          <w:tcPr>
            <w:tcW w:w="2513" w:type="dxa"/>
            <w:noWrap w:val="0"/>
            <w:vAlign w:val="center"/>
          </w:tcPr>
          <w:p w14:paraId="1AD8AD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3275" w:type="dxa"/>
            <w:noWrap w:val="0"/>
            <w:vAlign w:val="center"/>
          </w:tcPr>
          <w:p w14:paraId="455F09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Times New Roman" w:cs="Times New Roman"/>
                <w:color w:val="auto"/>
                <w:spacing w:val="-3"/>
                <w:sz w:val="24"/>
                <w:szCs w:val="24"/>
                <w:highlight w:val="none"/>
              </w:rPr>
              <w:t>18710867688</w:t>
            </w:r>
          </w:p>
        </w:tc>
      </w:tr>
      <w:tr w14:paraId="1F005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496" w:type="dxa"/>
            <w:noWrap w:val="0"/>
            <w:tcMar>
              <w:top w:w="16" w:type="dxa"/>
              <w:left w:w="16" w:type="dxa"/>
              <w:right w:w="16" w:type="dxa"/>
            </w:tcMar>
            <w:vAlign w:val="center"/>
          </w:tcPr>
          <w:p w14:paraId="5C7437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909" w:type="dxa"/>
            <w:gridSpan w:val="3"/>
            <w:noWrap w:val="0"/>
            <w:vAlign w:val="center"/>
          </w:tcPr>
          <w:p w14:paraId="02B04D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u w:val="none"/>
                <w:lang w:val="en-US" w:eastAsia="zh-CN"/>
              </w:rPr>
              <w:t>陕西省西咸新区沣西新城创新港G板块，四至范围为CXG东南二路以东、创智路以北、CXG东南三路以西地块</w:t>
            </w:r>
          </w:p>
        </w:tc>
      </w:tr>
      <w:tr w14:paraId="03C86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496" w:type="dxa"/>
            <w:noWrap w:val="0"/>
            <w:tcMar>
              <w:top w:w="16" w:type="dxa"/>
              <w:left w:w="16" w:type="dxa"/>
              <w:right w:w="16" w:type="dxa"/>
            </w:tcMar>
            <w:vAlign w:val="center"/>
          </w:tcPr>
          <w:p w14:paraId="77B728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909" w:type="dxa"/>
            <w:gridSpan w:val="3"/>
            <w:noWrap w:val="0"/>
            <w:vAlign w:val="center"/>
          </w:tcPr>
          <w:p w14:paraId="77EFA1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Times New Roman" w:cs="Times New Roman"/>
                <w:color w:val="auto"/>
                <w:spacing w:val="-2"/>
                <w:sz w:val="24"/>
                <w:szCs w:val="24"/>
                <w:highlight w:val="none"/>
                <w:u w:val="none" w:color="auto"/>
              </w:rPr>
              <w:t>108°40′42.355″</w:t>
            </w:r>
            <w:r>
              <w:rPr>
                <w:rFonts w:hint="default" w:ascii="Times New Roman" w:hAnsi="Times New Roman" w:eastAsia="Times New Roman" w:cs="Times New Roman"/>
                <w:color w:val="auto"/>
                <w:spacing w:val="-33"/>
                <w:sz w:val="24"/>
                <w:szCs w:val="24"/>
                <w:highlight w:val="none"/>
                <w:u w:val="none" w:color="auto"/>
              </w:rPr>
              <w:t xml:space="preserve"> </w:t>
            </w:r>
            <w:r>
              <w:rPr>
                <w:rFonts w:hint="default"/>
                <w:color w:val="auto"/>
                <w:spacing w:val="-2"/>
                <w:sz w:val="24"/>
                <w:szCs w:val="24"/>
                <w:highlight w:val="none"/>
                <w:u w:val="none" w:color="auto"/>
              </w:rPr>
              <w:t>，</w:t>
            </w:r>
            <w:r>
              <w:rPr>
                <w:rFonts w:hint="default" w:ascii="Times New Roman" w:hAnsi="Times New Roman" w:eastAsia="Times New Roman" w:cs="Times New Roman"/>
                <w:color w:val="auto"/>
                <w:spacing w:val="-2"/>
                <w:sz w:val="24"/>
                <w:szCs w:val="24"/>
                <w:highlight w:val="none"/>
                <w:u w:val="none" w:color="auto"/>
              </w:rPr>
              <w:t>34°</w:t>
            </w:r>
            <w:r>
              <w:rPr>
                <w:rFonts w:hint="default" w:ascii="Times New Roman" w:hAnsi="Times New Roman" w:eastAsia="Times New Roman" w:cs="Times New Roman"/>
                <w:color w:val="auto"/>
                <w:spacing w:val="-31"/>
                <w:sz w:val="24"/>
                <w:szCs w:val="24"/>
                <w:highlight w:val="none"/>
                <w:u w:val="none" w:color="auto"/>
              </w:rPr>
              <w:t xml:space="preserve"> </w:t>
            </w:r>
            <w:r>
              <w:rPr>
                <w:rFonts w:hint="default" w:ascii="Times New Roman" w:hAnsi="Times New Roman" w:eastAsia="Times New Roman" w:cs="Times New Roman"/>
                <w:color w:val="auto"/>
                <w:spacing w:val="-2"/>
                <w:sz w:val="24"/>
                <w:szCs w:val="24"/>
                <w:highlight w:val="none"/>
                <w:u w:val="none" w:color="auto"/>
              </w:rPr>
              <w:t>13′3</w:t>
            </w:r>
            <w:r>
              <w:rPr>
                <w:rFonts w:hint="default" w:ascii="Times New Roman" w:hAnsi="Times New Roman" w:eastAsia="Times New Roman" w:cs="Times New Roman"/>
                <w:color w:val="auto"/>
                <w:spacing w:val="-3"/>
                <w:sz w:val="24"/>
                <w:szCs w:val="24"/>
                <w:highlight w:val="none"/>
                <w:u w:val="none" w:color="auto"/>
              </w:rPr>
              <w:t>8.482″</w:t>
            </w:r>
          </w:p>
        </w:tc>
      </w:tr>
      <w:tr w14:paraId="4D9182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496" w:type="dxa"/>
            <w:noWrap w:val="0"/>
            <w:tcMar>
              <w:top w:w="16" w:type="dxa"/>
              <w:left w:w="16" w:type="dxa"/>
              <w:right w:w="16" w:type="dxa"/>
            </w:tcMar>
            <w:vAlign w:val="center"/>
          </w:tcPr>
          <w:p w14:paraId="16162A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国民经济</w:t>
            </w:r>
          </w:p>
          <w:p w14:paraId="1C6BD0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行业类别</w:t>
            </w:r>
          </w:p>
        </w:tc>
        <w:tc>
          <w:tcPr>
            <w:tcW w:w="2121" w:type="dxa"/>
            <w:noWrap w:val="0"/>
            <w:vAlign w:val="center"/>
          </w:tcPr>
          <w:p w14:paraId="33181FF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lang w:val="en-US" w:eastAsia="zh-CN"/>
              </w:rPr>
              <w:t>C3259 其他有色金属压延加工</w:t>
            </w:r>
          </w:p>
        </w:tc>
        <w:tc>
          <w:tcPr>
            <w:tcW w:w="2513" w:type="dxa"/>
            <w:noWrap w:val="0"/>
            <w:vAlign w:val="center"/>
          </w:tcPr>
          <w:p w14:paraId="6F4981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lang w:val="en-US" w:eastAsia="zh-CN"/>
              </w:rPr>
            </w:pPr>
            <w:bookmarkStart w:id="1" w:name="_Hlk49843745"/>
            <w:r>
              <w:rPr>
                <w:rFonts w:hint="default" w:ascii="Times New Roman" w:hAnsi="Times New Roman" w:eastAsia="宋体" w:cs="Times New Roman"/>
                <w:color w:val="auto"/>
                <w:sz w:val="24"/>
                <w:szCs w:val="24"/>
                <w:highlight w:val="none"/>
                <w:u w:val="none"/>
                <w:lang w:val="en-US" w:eastAsia="zh-CN"/>
              </w:rPr>
              <w:t>建设项目</w:t>
            </w:r>
          </w:p>
          <w:p w14:paraId="3C9DD2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行业类别</w:t>
            </w:r>
            <w:bookmarkEnd w:id="1"/>
          </w:p>
        </w:tc>
        <w:tc>
          <w:tcPr>
            <w:tcW w:w="3275" w:type="dxa"/>
            <w:noWrap w:val="0"/>
            <w:vAlign w:val="center"/>
          </w:tcPr>
          <w:p w14:paraId="5E23E53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二十九、有色金属冶炼和压延</w:t>
            </w:r>
          </w:p>
          <w:p w14:paraId="481FDCF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加工业 65-有色压延加工 325-</w:t>
            </w:r>
          </w:p>
          <w:p w14:paraId="194D51E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全部</w:t>
            </w:r>
          </w:p>
        </w:tc>
      </w:tr>
      <w:tr w14:paraId="5C119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496" w:type="dxa"/>
            <w:noWrap w:val="0"/>
            <w:tcMar>
              <w:top w:w="16" w:type="dxa"/>
              <w:left w:w="16" w:type="dxa"/>
              <w:right w:w="16" w:type="dxa"/>
            </w:tcMar>
            <w:vAlign w:val="center"/>
          </w:tcPr>
          <w:p w14:paraId="34B6F3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21" w:type="dxa"/>
            <w:noWrap w:val="0"/>
            <w:vAlign w:val="center"/>
          </w:tcPr>
          <w:p w14:paraId="572DC68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☑新建（迁建）</w:t>
            </w:r>
          </w:p>
          <w:p w14:paraId="67163A69">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改建</w:t>
            </w:r>
          </w:p>
          <w:p w14:paraId="715F51D2">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扩建</w:t>
            </w:r>
          </w:p>
          <w:p w14:paraId="4941A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技术改造</w:t>
            </w:r>
          </w:p>
        </w:tc>
        <w:tc>
          <w:tcPr>
            <w:tcW w:w="2513" w:type="dxa"/>
            <w:noWrap w:val="0"/>
            <w:vAlign w:val="center"/>
          </w:tcPr>
          <w:p w14:paraId="66F052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1285B0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275" w:type="dxa"/>
            <w:noWrap w:val="0"/>
            <w:vAlign w:val="center"/>
          </w:tcPr>
          <w:p w14:paraId="02AC4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首次申报项目</w:t>
            </w:r>
          </w:p>
          <w:p w14:paraId="132E49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0" w:right="0" w:hanging="21" w:hangingChars="9"/>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不予批准后再次申报项目</w:t>
            </w:r>
          </w:p>
          <w:p w14:paraId="3CB06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超五年重新审核项目</w:t>
            </w:r>
          </w:p>
          <w:p w14:paraId="50E66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重大变动重新报批项目</w:t>
            </w:r>
          </w:p>
        </w:tc>
      </w:tr>
      <w:tr w14:paraId="364DC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496" w:type="dxa"/>
            <w:noWrap w:val="0"/>
            <w:tcMar>
              <w:top w:w="16" w:type="dxa"/>
              <w:left w:w="16" w:type="dxa"/>
              <w:right w:w="16" w:type="dxa"/>
            </w:tcMar>
            <w:vAlign w:val="center"/>
          </w:tcPr>
          <w:p w14:paraId="0E9B8B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项目审批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核准/备案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部门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选填</w:t>
            </w:r>
            <w:r>
              <w:rPr>
                <w:rFonts w:hint="default" w:ascii="Times New Roman" w:hAnsi="Times New Roman" w:eastAsia="宋体" w:cs="Times New Roman"/>
                <w:color w:val="auto"/>
                <w:sz w:val="24"/>
                <w:szCs w:val="24"/>
                <w:highlight w:val="none"/>
                <w:lang w:eastAsia="zh-CN"/>
              </w:rPr>
              <w:t>）</w:t>
            </w:r>
          </w:p>
        </w:tc>
        <w:tc>
          <w:tcPr>
            <w:tcW w:w="2121" w:type="dxa"/>
            <w:noWrap w:val="0"/>
            <w:vAlign w:val="center"/>
          </w:tcPr>
          <w:p w14:paraId="27F40F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陕西省西咸新区沣西新城管理委员会</w:t>
            </w:r>
          </w:p>
        </w:tc>
        <w:tc>
          <w:tcPr>
            <w:tcW w:w="2513" w:type="dxa"/>
            <w:noWrap w:val="0"/>
            <w:vAlign w:val="center"/>
          </w:tcPr>
          <w:p w14:paraId="6962EA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6C3978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备案）文号（选填）</w:t>
            </w:r>
          </w:p>
        </w:tc>
        <w:tc>
          <w:tcPr>
            <w:tcW w:w="3275" w:type="dxa"/>
            <w:noWrap w:val="0"/>
            <w:vAlign w:val="center"/>
          </w:tcPr>
          <w:p w14:paraId="6983E0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14:paraId="56CBC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1496" w:type="dxa"/>
            <w:noWrap w:val="0"/>
            <w:tcMar>
              <w:top w:w="16" w:type="dxa"/>
              <w:left w:w="16" w:type="dxa"/>
              <w:right w:w="16" w:type="dxa"/>
            </w:tcMar>
            <w:vAlign w:val="center"/>
          </w:tcPr>
          <w:p w14:paraId="2FA209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21" w:type="dxa"/>
            <w:noWrap w:val="0"/>
            <w:vAlign w:val="center"/>
          </w:tcPr>
          <w:p w14:paraId="72312E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35000</w:t>
            </w:r>
          </w:p>
        </w:tc>
        <w:tc>
          <w:tcPr>
            <w:tcW w:w="2513" w:type="dxa"/>
            <w:noWrap w:val="0"/>
            <w:tcMar>
              <w:top w:w="16" w:type="dxa"/>
              <w:left w:w="16" w:type="dxa"/>
              <w:right w:w="16" w:type="dxa"/>
            </w:tcMar>
            <w:vAlign w:val="center"/>
          </w:tcPr>
          <w:p w14:paraId="668752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275" w:type="dxa"/>
            <w:noWrap w:val="0"/>
            <w:vAlign w:val="center"/>
          </w:tcPr>
          <w:p w14:paraId="2E4BB4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120</w:t>
            </w:r>
          </w:p>
        </w:tc>
      </w:tr>
      <w:tr w14:paraId="7E49E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96" w:type="dxa"/>
            <w:noWrap w:val="0"/>
            <w:tcMar>
              <w:top w:w="16" w:type="dxa"/>
              <w:left w:w="16" w:type="dxa"/>
              <w:right w:w="16" w:type="dxa"/>
            </w:tcMar>
            <w:vAlign w:val="center"/>
          </w:tcPr>
          <w:p w14:paraId="10707B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环保投资占比</w:t>
            </w:r>
            <w:r>
              <w:rPr>
                <w:rFonts w:hint="default" w:ascii="Times New Roman" w:hAnsi="Times New Roman" w:eastAsia="宋体" w:cs="Times New Roman"/>
                <w:i w:val="0"/>
                <w:caps w:val="0"/>
                <w:color w:val="auto"/>
                <w:spacing w:val="0"/>
                <w:sz w:val="24"/>
                <w:szCs w:val="24"/>
                <w:highlight w:val="none"/>
                <w:shd w:val="clear" w:color="auto" w:fill="FFFFFF"/>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val="0"/>
                <w:caps w:val="0"/>
                <w:color w:val="auto"/>
                <w:spacing w:val="0"/>
                <w:sz w:val="24"/>
                <w:szCs w:val="24"/>
                <w:highlight w:val="none"/>
                <w:shd w:val="clear" w:color="auto" w:fill="FFFFFF"/>
                <w:lang w:eastAsia="zh-CN"/>
              </w:rPr>
              <w:t>）</w:t>
            </w:r>
          </w:p>
        </w:tc>
        <w:tc>
          <w:tcPr>
            <w:tcW w:w="2121" w:type="dxa"/>
            <w:noWrap w:val="0"/>
            <w:vAlign w:val="center"/>
          </w:tcPr>
          <w:p w14:paraId="4E75B8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0.34</w:t>
            </w:r>
          </w:p>
        </w:tc>
        <w:tc>
          <w:tcPr>
            <w:tcW w:w="2513" w:type="dxa"/>
            <w:noWrap w:val="0"/>
            <w:tcMar>
              <w:top w:w="16" w:type="dxa"/>
              <w:left w:w="16" w:type="dxa"/>
              <w:right w:w="16" w:type="dxa"/>
            </w:tcMar>
            <w:vAlign w:val="center"/>
          </w:tcPr>
          <w:p w14:paraId="6A5B30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275" w:type="dxa"/>
            <w:noWrap w:val="0"/>
            <w:vAlign w:val="center"/>
          </w:tcPr>
          <w:p w14:paraId="243A19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0</w:t>
            </w:r>
          </w:p>
        </w:tc>
      </w:tr>
      <w:tr w14:paraId="07D8A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496" w:type="dxa"/>
            <w:noWrap w:val="0"/>
            <w:tcMar>
              <w:top w:w="16" w:type="dxa"/>
              <w:left w:w="16" w:type="dxa"/>
              <w:right w:w="16" w:type="dxa"/>
            </w:tcMar>
            <w:vAlign w:val="center"/>
          </w:tcPr>
          <w:p w14:paraId="09CDC3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21" w:type="dxa"/>
            <w:noWrap w:val="0"/>
            <w:vAlign w:val="center"/>
          </w:tcPr>
          <w:p w14:paraId="50457F9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否</w:t>
            </w:r>
          </w:p>
          <w:p w14:paraId="0FCDDAA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1号厂房环评手续已办理，已开始建设。2号厂房及科研实验楼未开工建设。</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lang w:val="en-US" w:eastAsia="zh-CN"/>
              </w:rPr>
              <w:t xml:space="preserve">       </w:t>
            </w:r>
          </w:p>
        </w:tc>
        <w:tc>
          <w:tcPr>
            <w:tcW w:w="2513" w:type="dxa"/>
            <w:noWrap w:val="0"/>
            <w:tcMar>
              <w:top w:w="16" w:type="dxa"/>
              <w:left w:w="16" w:type="dxa"/>
              <w:right w:w="16" w:type="dxa"/>
            </w:tcMar>
            <w:vAlign w:val="center"/>
          </w:tcPr>
          <w:p w14:paraId="6C31CD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71A12D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3275" w:type="dxa"/>
            <w:noWrap w:val="0"/>
            <w:vAlign w:val="center"/>
          </w:tcPr>
          <w:p w14:paraId="68E6DC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36653.04</w:t>
            </w:r>
          </w:p>
        </w:tc>
      </w:tr>
      <w:tr w14:paraId="36F10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6" w:type="dxa"/>
            <w:noWrap w:val="0"/>
            <w:vAlign w:val="center"/>
          </w:tcPr>
          <w:p w14:paraId="1E41A0F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7909" w:type="dxa"/>
            <w:gridSpan w:val="3"/>
            <w:noWrap w:val="0"/>
            <w:vAlign w:val="center"/>
          </w:tcPr>
          <w:p w14:paraId="31F2E75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r w14:paraId="256D0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6" w:type="dxa"/>
            <w:noWrap w:val="0"/>
            <w:vAlign w:val="center"/>
          </w:tcPr>
          <w:p w14:paraId="40F4DAB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7909" w:type="dxa"/>
            <w:gridSpan w:val="3"/>
            <w:noWrap w:val="0"/>
            <w:vAlign w:val="center"/>
          </w:tcPr>
          <w:p w14:paraId="6E7B8425">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规划名称：《西咸新区沣西新城分区规划（2016-2035）》；</w:t>
            </w:r>
          </w:p>
          <w:p w14:paraId="60972D7C">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审批机关：陕西省西咸新区开发建设管理委员会；</w:t>
            </w:r>
          </w:p>
          <w:p w14:paraId="05F36D4D">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审批文件名称：《西咸新区沣西新城分区规划2016年-2035年总体规划审查意见》</w:t>
            </w:r>
          </w:p>
        </w:tc>
      </w:tr>
      <w:tr w14:paraId="20BC9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6" w:type="dxa"/>
            <w:noWrap w:val="0"/>
            <w:vAlign w:val="center"/>
          </w:tcPr>
          <w:p w14:paraId="5EFA0C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规划环境影响评价情况</w:t>
            </w:r>
          </w:p>
        </w:tc>
        <w:tc>
          <w:tcPr>
            <w:tcW w:w="7909" w:type="dxa"/>
            <w:gridSpan w:val="3"/>
            <w:noWrap w:val="0"/>
            <w:vAlign w:val="center"/>
          </w:tcPr>
          <w:p w14:paraId="36B0199A">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规划名称：《西咸新区沣西新城分区规划（2016年-2035年）环境影响报告书》；</w:t>
            </w:r>
          </w:p>
          <w:p w14:paraId="39F485F8">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审批机关：陕西省西咸新区环境保护局；</w:t>
            </w:r>
          </w:p>
          <w:p w14:paraId="3FA1FB68">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审批文件名称及文号：陕西省西咸新区环境保护局关于《西咸新区沣西新城分区规划（2016年-2035年）环境影响报告书》审查意见的函（陕西咸环函〔2018〕61号）。</w:t>
            </w:r>
          </w:p>
        </w:tc>
      </w:tr>
      <w:tr w14:paraId="2BD8F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6" w:type="dxa"/>
            <w:noWrap w:val="0"/>
            <w:vAlign w:val="center"/>
          </w:tcPr>
          <w:p w14:paraId="0B7E81A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7909" w:type="dxa"/>
            <w:gridSpan w:val="3"/>
            <w:noWrap w:val="0"/>
            <w:vAlign w:val="center"/>
          </w:tcPr>
          <w:p w14:paraId="44380A46">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highlight w:val="none"/>
                <w:lang w:val="en-US" w:eastAsia="zh-CN"/>
              </w:rPr>
            </w:pPr>
            <w:r>
              <w:rPr>
                <w:rFonts w:hint="default"/>
                <w:b/>
                <w:bCs/>
                <w:color w:val="auto"/>
                <w:szCs w:val="21"/>
                <w:highlight w:val="none"/>
                <w:lang w:val="en-US" w:eastAsia="zh-CN"/>
              </w:rPr>
              <w:t>表 1-</w:t>
            </w:r>
            <w:r>
              <w:rPr>
                <w:rFonts w:hint="eastAsia"/>
                <w:b/>
                <w:bCs/>
                <w:color w:val="auto"/>
                <w:szCs w:val="21"/>
                <w:highlight w:val="none"/>
                <w:lang w:val="en-US" w:eastAsia="zh-CN"/>
              </w:rPr>
              <w:t>1</w:t>
            </w:r>
            <w:r>
              <w:rPr>
                <w:rFonts w:hint="default"/>
                <w:b/>
                <w:bCs/>
                <w:color w:val="auto"/>
                <w:szCs w:val="21"/>
                <w:highlight w:val="none"/>
                <w:lang w:val="en-US" w:eastAsia="zh-CN"/>
              </w:rPr>
              <w:t>本项目与《</w:t>
            </w:r>
            <w:r>
              <w:rPr>
                <w:rFonts w:hint="eastAsia"/>
                <w:b/>
                <w:bCs/>
                <w:color w:val="auto"/>
                <w:szCs w:val="21"/>
                <w:highlight w:val="none"/>
                <w:lang w:val="en-US" w:eastAsia="zh-CN"/>
              </w:rPr>
              <w:t>西咸新区沣西新城分区规划（2016年-2035年）环境影响报告书</w:t>
            </w:r>
            <w:r>
              <w:rPr>
                <w:rFonts w:hint="default"/>
                <w:b/>
                <w:bCs/>
                <w:color w:val="auto"/>
                <w:szCs w:val="21"/>
                <w:highlight w:val="none"/>
                <w:lang w:val="en-US" w:eastAsia="zh-CN"/>
              </w:rPr>
              <w:t>》 及审查意见（</w:t>
            </w:r>
            <w:r>
              <w:rPr>
                <w:rFonts w:hint="eastAsia"/>
                <w:b/>
                <w:bCs/>
                <w:color w:val="auto"/>
                <w:szCs w:val="21"/>
                <w:highlight w:val="none"/>
                <w:lang w:val="en-US" w:eastAsia="zh-CN"/>
              </w:rPr>
              <w:t>陕西咸环函〔2018〕61号</w:t>
            </w:r>
            <w:r>
              <w:rPr>
                <w:rFonts w:hint="default"/>
                <w:b/>
                <w:bCs/>
                <w:color w:val="auto"/>
                <w:szCs w:val="21"/>
                <w:highlight w:val="none"/>
                <w:lang w:val="en-US" w:eastAsia="zh-CN"/>
              </w:rPr>
              <w:t>）的符合性分析</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2824"/>
              <w:gridCol w:w="2552"/>
              <w:gridCol w:w="427"/>
            </w:tblGrid>
            <w:tr w14:paraId="424CB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l2br w:val="nil"/>
                    <w:tr2bl w:val="nil"/>
                  </w:tcBorders>
                  <w:noWrap w:val="0"/>
                  <w:vAlign w:val="center"/>
                </w:tcPr>
                <w:p w14:paraId="7A65E72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项目</w:t>
                  </w:r>
                </w:p>
              </w:tc>
              <w:tc>
                <w:tcPr>
                  <w:tcW w:w="1842" w:type="pct"/>
                  <w:tcBorders>
                    <w:tl2br w:val="nil"/>
                    <w:tr2bl w:val="nil"/>
                  </w:tcBorders>
                  <w:noWrap w:val="0"/>
                  <w:vAlign w:val="center"/>
                </w:tcPr>
                <w:p w14:paraId="51A03EF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文件要求</w:t>
                  </w:r>
                </w:p>
              </w:tc>
              <w:tc>
                <w:tcPr>
                  <w:tcW w:w="1665" w:type="pct"/>
                  <w:tcBorders>
                    <w:tl2br w:val="nil"/>
                    <w:tr2bl w:val="nil"/>
                  </w:tcBorders>
                  <w:noWrap w:val="0"/>
                  <w:vAlign w:val="center"/>
                </w:tcPr>
                <w:p w14:paraId="5C77C92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本项目情况</w:t>
                  </w:r>
                </w:p>
              </w:tc>
              <w:tc>
                <w:tcPr>
                  <w:tcW w:w="278" w:type="pct"/>
                  <w:tcBorders>
                    <w:tl2br w:val="nil"/>
                    <w:tr2bl w:val="nil"/>
                  </w:tcBorders>
                  <w:noWrap w:val="0"/>
                  <w:vAlign w:val="center"/>
                </w:tcPr>
                <w:p w14:paraId="66FB426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符合性</w:t>
                  </w:r>
                </w:p>
              </w:tc>
            </w:tr>
            <w:tr w14:paraId="32235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vMerge w:val="restart"/>
                  <w:tcBorders>
                    <w:tl2br w:val="nil"/>
                    <w:tr2bl w:val="nil"/>
                  </w:tcBorders>
                  <w:noWrap w:val="0"/>
                  <w:vAlign w:val="center"/>
                </w:tcPr>
                <w:p w14:paraId="4E379D8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西咸新区沣西新城分区规划（2015-2036）</w:t>
                  </w:r>
                  <w:r>
                    <w:rPr>
                      <w:rFonts w:hint="default" w:ascii="Times New Roman" w:hAnsi="Times New Roman" w:cs="Times New Roman"/>
                      <w:color w:val="auto"/>
                      <w:kern w:val="0"/>
                      <w:sz w:val="21"/>
                      <w:szCs w:val="21"/>
                      <w:highlight w:val="none"/>
                    </w:rPr>
                    <w:t>》</w:t>
                  </w:r>
                </w:p>
              </w:tc>
              <w:tc>
                <w:tcPr>
                  <w:tcW w:w="1842" w:type="pct"/>
                  <w:tcBorders>
                    <w:tl2br w:val="nil"/>
                    <w:tr2bl w:val="nil"/>
                  </w:tcBorders>
                  <w:noWrap w:val="0"/>
                  <w:vAlign w:val="center"/>
                </w:tcPr>
                <w:p w14:paraId="5B61516F">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规划范围东至沣河，南至大王镇及马王街办南端，西至户县大王东村路口到保西村以东（规划中的西咸环线），北至渭河中心。</w:t>
                  </w:r>
                </w:p>
              </w:tc>
              <w:tc>
                <w:tcPr>
                  <w:tcW w:w="1665" w:type="pct"/>
                  <w:tcBorders>
                    <w:tl2br w:val="nil"/>
                    <w:tr2bl w:val="nil"/>
                  </w:tcBorders>
                  <w:noWrap w:val="0"/>
                  <w:vAlign w:val="center"/>
                </w:tcPr>
                <w:p w14:paraId="7053AEB2">
                  <w:pPr>
                    <w:keepNext w:val="0"/>
                    <w:keepLines w:val="0"/>
                    <w:pageBreakBefore w:val="0"/>
                    <w:suppressLineNumbers w:val="0"/>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本项目位于</w:t>
                  </w:r>
                  <w:r>
                    <w:rPr>
                      <w:rFonts w:hint="eastAsia" w:ascii="Times New Roman" w:hAnsi="Times New Roman" w:eastAsia="宋体" w:cs="Times New Roman"/>
                      <w:color w:val="auto"/>
                      <w:kern w:val="0"/>
                      <w:sz w:val="21"/>
                      <w:szCs w:val="21"/>
                      <w:highlight w:val="none"/>
                      <w:lang w:val="en-US" w:eastAsia="zh-CN"/>
                    </w:rPr>
                    <w:t>陕西省西咸新区沣西新城创新港G板块</w:t>
                  </w:r>
                  <w:r>
                    <w:rPr>
                      <w:rFonts w:hint="default" w:ascii="Times New Roman" w:hAnsi="Times New Roman" w:eastAsia="宋体" w:cs="Times New Roman"/>
                      <w:color w:val="auto"/>
                      <w:kern w:val="0"/>
                      <w:sz w:val="21"/>
                      <w:szCs w:val="21"/>
                      <w:highlight w:val="none"/>
                      <w:lang w:val="en-US" w:eastAsia="zh-CN"/>
                    </w:rPr>
                    <w:t>，处于沣西新城规划范围内</w:t>
                  </w:r>
                </w:p>
              </w:tc>
              <w:tc>
                <w:tcPr>
                  <w:tcW w:w="278" w:type="pct"/>
                  <w:tcBorders>
                    <w:tl2br w:val="nil"/>
                    <w:tr2bl w:val="nil"/>
                  </w:tcBorders>
                  <w:noWrap w:val="0"/>
                  <w:vAlign w:val="center"/>
                </w:tcPr>
                <w:p w14:paraId="68AD6D3E">
                  <w:pPr>
                    <w:keepNext w:val="0"/>
                    <w:keepLines w:val="0"/>
                    <w:pageBreakBefore w:val="0"/>
                    <w:suppressLineNumbers w:val="0"/>
                    <w:kinsoku/>
                    <w:wordWrap/>
                    <w:overflowPunct/>
                    <w:topLinePunct w:val="0"/>
                    <w:bidi w:val="0"/>
                    <w:spacing w:before="0" w:beforeAutospacing="0" w:after="0" w:afterAutospacing="0" w:line="360" w:lineRule="atLeast"/>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符合</w:t>
                  </w:r>
                </w:p>
              </w:tc>
            </w:tr>
            <w:tr w14:paraId="1E1C4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vMerge w:val="continue"/>
                  <w:tcBorders>
                    <w:tl2br w:val="nil"/>
                    <w:tr2bl w:val="nil"/>
                  </w:tcBorders>
                  <w:noWrap w:val="0"/>
                  <w:vAlign w:val="center"/>
                </w:tcPr>
                <w:p w14:paraId="4EE7C6E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textAlignment w:val="auto"/>
                    <w:rPr>
                      <w:rFonts w:hint="default" w:ascii="Times New Roman" w:hAnsi="Times New Roman" w:cs="Times New Roman"/>
                      <w:color w:val="auto"/>
                      <w:kern w:val="0"/>
                      <w:sz w:val="21"/>
                      <w:szCs w:val="21"/>
                      <w:highlight w:val="none"/>
                    </w:rPr>
                  </w:pPr>
                </w:p>
              </w:tc>
              <w:tc>
                <w:tcPr>
                  <w:tcW w:w="1842" w:type="pct"/>
                  <w:tcBorders>
                    <w:tl2br w:val="nil"/>
                    <w:tr2bl w:val="nil"/>
                  </w:tcBorders>
                  <w:noWrap w:val="0"/>
                  <w:vAlign w:val="center"/>
                </w:tcPr>
                <w:p w14:paraId="04D88133">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产业空间布局</w:t>
                  </w:r>
                </w:p>
                <w:p w14:paraId="0E638597">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渭滨片区：生活服务业主导</w:t>
                  </w:r>
                  <w:r>
                    <w:rPr>
                      <w:rFonts w:hint="default" w:ascii="Times New Roman" w:hAnsi="Times New Roman"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CN"/>
                    </w:rPr>
                    <w:t>金融、旅游产业、科技创新为辅。</w:t>
                  </w:r>
                </w:p>
                <w:p w14:paraId="1EA61378">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中心片区：现代服务业主导，包括科技创新、总部经济、科技服务业、科技金融、会议会展、都市农业等。</w:t>
                  </w:r>
                </w:p>
                <w:p w14:paraId="7029E314">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信息片区：信息产业主导，智能制造、科技创新、现代服务业、生物医药、文化创意产业、都市农业为辅。</w:t>
                  </w:r>
                </w:p>
                <w:p w14:paraId="51CDF11B">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创新港片区：科技创新和智能制造主导，信息产业、科技服务业、科技金融、现代物流、文化创意产业、航空产业、都市农业为辅。</w:t>
                  </w:r>
                </w:p>
                <w:p w14:paraId="61F7DD40">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文教片区：文化产业主导，健康养生、都市农业、旅游产业为辅。</w:t>
                  </w:r>
                </w:p>
                <w:p w14:paraId="1F6953FE">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大王片区：节能环保产业主导，都市农业、旅游产业、现代物流、农副产品加工业为辅。</w:t>
                  </w:r>
                </w:p>
                <w:p w14:paraId="49C87BFB">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丰京片区：旅游产业主导，都市农业、现代物流、智能制造为辅。</w:t>
                  </w:r>
                </w:p>
              </w:tc>
              <w:tc>
                <w:tcPr>
                  <w:tcW w:w="1665" w:type="pct"/>
                  <w:tcBorders>
                    <w:tl2br w:val="nil"/>
                    <w:tr2bl w:val="nil"/>
                  </w:tcBorders>
                  <w:noWrap w:val="0"/>
                  <w:vAlign w:val="center"/>
                </w:tcPr>
                <w:p w14:paraId="4362A16A">
                  <w:pPr>
                    <w:keepNext w:val="0"/>
                    <w:keepLines w:val="0"/>
                    <w:pageBreakBefore w:val="0"/>
                    <w:suppressLineNumbers w:val="0"/>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项目位于</w:t>
                  </w:r>
                  <w:r>
                    <w:rPr>
                      <w:rFonts w:hint="default" w:ascii="Times New Roman" w:hAnsi="Times New Roman" w:eastAsia="宋体" w:cs="Times New Roman"/>
                      <w:color w:val="auto"/>
                      <w:kern w:val="0"/>
                      <w:sz w:val="21"/>
                      <w:szCs w:val="21"/>
                      <w:highlight w:val="none"/>
                      <w:lang w:eastAsia="zh-CN"/>
                    </w:rPr>
                    <w:t>创新港片区</w:t>
                  </w:r>
                  <w:r>
                    <w:rPr>
                      <w:rFonts w:hint="default" w:ascii="Times New Roman" w:hAnsi="Times New Roman" w:cs="Times New Roman"/>
                      <w:color w:val="auto"/>
                      <w:kern w:val="0"/>
                      <w:sz w:val="21"/>
                      <w:szCs w:val="21"/>
                      <w:highlight w:val="none"/>
                      <w:lang w:val="en-US" w:eastAsia="zh-CN"/>
                    </w:rPr>
                    <w:t>。本项目为</w:t>
                  </w:r>
                  <w:r>
                    <w:rPr>
                      <w:rFonts w:hint="eastAsia" w:ascii="Times New Roman" w:hAnsi="Times New Roman" w:cs="Times New Roman"/>
                      <w:color w:val="auto"/>
                      <w:kern w:val="0"/>
                      <w:sz w:val="21"/>
                      <w:szCs w:val="21"/>
                      <w:highlight w:val="none"/>
                      <w:lang w:val="en-US" w:eastAsia="zh-CN"/>
                    </w:rPr>
                    <w:t>先进钛合金材料制造</w:t>
                  </w:r>
                  <w:r>
                    <w:rPr>
                      <w:rFonts w:hint="default" w:ascii="Times New Roman" w:hAnsi="Times New Roman"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符合</w:t>
                  </w:r>
                  <w:r>
                    <w:rPr>
                      <w:rFonts w:hint="default" w:ascii="Times New Roman" w:hAnsi="Times New Roman" w:eastAsia="宋体" w:cs="Times New Roman"/>
                      <w:color w:val="auto"/>
                      <w:kern w:val="0"/>
                      <w:sz w:val="21"/>
                      <w:szCs w:val="21"/>
                      <w:highlight w:val="none"/>
                      <w:lang w:eastAsia="zh-CN"/>
                    </w:rPr>
                    <w:t>科技创新和智能制造主导</w:t>
                  </w:r>
                  <w:r>
                    <w:rPr>
                      <w:rFonts w:hint="default" w:ascii="Times New Roman" w:hAnsi="Times New Roman" w:cs="Times New Roman"/>
                      <w:color w:val="auto"/>
                      <w:kern w:val="0"/>
                      <w:sz w:val="21"/>
                      <w:szCs w:val="21"/>
                      <w:highlight w:val="none"/>
                      <w:lang w:val="en-US" w:eastAsia="zh-CN"/>
                    </w:rPr>
                    <w:t>，故本项目符合产业空间布局。</w:t>
                  </w:r>
                </w:p>
              </w:tc>
              <w:tc>
                <w:tcPr>
                  <w:tcW w:w="278" w:type="pct"/>
                  <w:tcBorders>
                    <w:tl2br w:val="nil"/>
                    <w:tr2bl w:val="nil"/>
                  </w:tcBorders>
                  <w:noWrap w:val="0"/>
                  <w:vAlign w:val="center"/>
                </w:tcPr>
                <w:p w14:paraId="321E61B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color w:val="auto"/>
                      <w:kern w:val="0"/>
                      <w:sz w:val="21"/>
                      <w:szCs w:val="21"/>
                      <w:highlight w:val="none"/>
                    </w:rPr>
                  </w:pPr>
                </w:p>
              </w:tc>
            </w:tr>
            <w:tr w14:paraId="4CB65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vMerge w:val="restart"/>
                  <w:tcBorders>
                    <w:tl2br w:val="nil"/>
                    <w:tr2bl w:val="nil"/>
                  </w:tcBorders>
                  <w:noWrap w:val="0"/>
                  <w:vAlign w:val="center"/>
                </w:tcPr>
                <w:p w14:paraId="064F8388">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西咸新区沣西新城分区规划（2015-2036</w:t>
                  </w:r>
                  <w:r>
                    <w:rPr>
                      <w:rFonts w:hint="default" w:ascii="Times New Roman" w:hAnsi="Times New Roman" w:cs="Times New Roman"/>
                      <w:color w:val="auto"/>
                      <w:kern w:val="0"/>
                      <w:sz w:val="21"/>
                      <w:szCs w:val="21"/>
                      <w:highlight w:val="none"/>
                      <w:lang w:val="en-US" w:eastAsia="zh-CN"/>
                    </w:rPr>
                    <w:t>年</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环境影响报告书》及审查意见</w:t>
                  </w:r>
                </w:p>
              </w:tc>
              <w:tc>
                <w:tcPr>
                  <w:tcW w:w="1842" w:type="pct"/>
                  <w:tcBorders>
                    <w:tl2br w:val="nil"/>
                    <w:tr2bl w:val="nil"/>
                  </w:tcBorders>
                  <w:noWrap w:val="0"/>
                  <w:vAlign w:val="center"/>
                </w:tcPr>
                <w:p w14:paraId="6AE31085">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严禁“三高一低”项目入区，采用总量控制的方式，限制大气污染物排放量大的项目入区。</w:t>
                  </w:r>
                </w:p>
              </w:tc>
              <w:tc>
                <w:tcPr>
                  <w:tcW w:w="1665" w:type="pct"/>
                  <w:tcBorders>
                    <w:tl2br w:val="nil"/>
                    <w:tr2bl w:val="nil"/>
                  </w:tcBorders>
                  <w:noWrap w:val="0"/>
                  <w:vAlign w:val="top"/>
                </w:tcPr>
                <w:p w14:paraId="79F634BA">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本项目</w:t>
                  </w:r>
                  <w:r>
                    <w:rPr>
                      <w:rFonts w:hint="default" w:ascii="Times New Roman" w:hAnsi="Times New Roman" w:eastAsia="宋体" w:cs="Times New Roman"/>
                      <w:color w:val="auto"/>
                      <w:kern w:val="0"/>
                      <w:sz w:val="21"/>
                      <w:szCs w:val="21"/>
                      <w:highlight w:val="none"/>
                      <w:lang w:val="en-US" w:eastAsia="zh-CN"/>
                    </w:rPr>
                    <w:t>为</w:t>
                  </w:r>
                  <w:r>
                    <w:rPr>
                      <w:rFonts w:hint="eastAsia" w:ascii="Times New Roman" w:hAnsi="Times New Roman" w:eastAsia="宋体" w:cs="Times New Roman"/>
                      <w:color w:val="auto"/>
                      <w:kern w:val="0"/>
                      <w:sz w:val="21"/>
                      <w:szCs w:val="21"/>
                      <w:highlight w:val="none"/>
                      <w:lang w:val="en-US" w:eastAsia="zh-CN"/>
                    </w:rPr>
                    <w:t>有色金属压延加工项目</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不属于“三高一低项目”，本项目大气污染物经处理后，排放量较小。</w:t>
                  </w:r>
                </w:p>
              </w:tc>
              <w:tc>
                <w:tcPr>
                  <w:tcW w:w="278" w:type="pct"/>
                  <w:tcBorders>
                    <w:tl2br w:val="nil"/>
                    <w:tr2bl w:val="nil"/>
                  </w:tcBorders>
                  <w:noWrap w:val="0"/>
                  <w:vAlign w:val="center"/>
                </w:tcPr>
                <w:p w14:paraId="218524F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3B08C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vMerge w:val="continue"/>
                  <w:tcBorders>
                    <w:tl2br w:val="nil"/>
                    <w:tr2bl w:val="nil"/>
                  </w:tcBorders>
                  <w:noWrap w:val="0"/>
                  <w:vAlign w:val="center"/>
                </w:tcPr>
                <w:p w14:paraId="7FFB94B9">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cs="Times New Roman"/>
                      <w:color w:val="auto"/>
                      <w:kern w:val="0"/>
                      <w:sz w:val="21"/>
                      <w:szCs w:val="21"/>
                      <w:highlight w:val="none"/>
                    </w:rPr>
                  </w:pPr>
                </w:p>
              </w:tc>
              <w:tc>
                <w:tcPr>
                  <w:tcW w:w="1842" w:type="pct"/>
                  <w:tcBorders>
                    <w:tl2br w:val="nil"/>
                    <w:tr2bl w:val="nil"/>
                  </w:tcBorders>
                  <w:noWrap w:val="0"/>
                  <w:vAlign w:val="center"/>
                </w:tcPr>
                <w:p w14:paraId="3037F8ED">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结合区域水环境质量改善目标的要求，提高再生水回用率，提高污水处理厂管理标准；落实禽畜养殖禁养、景观水体建设等措施</w:t>
                  </w:r>
                </w:p>
              </w:tc>
              <w:tc>
                <w:tcPr>
                  <w:tcW w:w="1665" w:type="pct"/>
                  <w:tcBorders>
                    <w:tl2br w:val="nil"/>
                    <w:tr2bl w:val="nil"/>
                  </w:tcBorders>
                  <w:noWrap w:val="0"/>
                  <w:vAlign w:val="top"/>
                </w:tcPr>
                <w:p w14:paraId="1E55EF9C">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本项目不涉及再生水，</w:t>
                  </w:r>
                  <w:r>
                    <w:rPr>
                      <w:rFonts w:hint="default" w:ascii="Times New Roman" w:hAnsi="Times New Roman" w:cs="Times New Roman"/>
                      <w:color w:val="auto"/>
                      <w:kern w:val="0"/>
                      <w:sz w:val="21"/>
                      <w:szCs w:val="21"/>
                      <w:highlight w:val="none"/>
                      <w:lang w:val="en-US" w:eastAsia="zh-CN"/>
                    </w:rPr>
                    <w:t>本项目</w:t>
                  </w:r>
                  <w:r>
                    <w:rPr>
                      <w:rFonts w:hint="eastAsia" w:cs="Times New Roman"/>
                      <w:color w:val="auto"/>
                      <w:kern w:val="0"/>
                      <w:sz w:val="21"/>
                      <w:szCs w:val="21"/>
                      <w:highlight w:val="none"/>
                      <w:lang w:val="en-US" w:eastAsia="zh-CN"/>
                    </w:rPr>
                    <w:t>生活污水及生产废水近期经厂区化粪池收集后，排入厂区的污水收集池，定期由槽车拉运至沣西新城大王污水处理厂处理；远期</w:t>
                  </w:r>
                  <w:r>
                    <w:rPr>
                      <w:rFonts w:hint="default" w:ascii="Times New Roman" w:hAnsi="Times New Roman" w:cs="Times New Roman"/>
                      <w:color w:val="auto"/>
                      <w:kern w:val="0"/>
                      <w:sz w:val="21"/>
                      <w:szCs w:val="21"/>
                      <w:highlight w:val="none"/>
                      <w:lang w:val="en-US" w:eastAsia="zh-CN"/>
                    </w:rPr>
                    <w:t>生活污水经化粪池收集后经市政管网排入</w:t>
                  </w:r>
                  <w:r>
                    <w:rPr>
                      <w:rFonts w:hint="eastAsia" w:cs="Times New Roman"/>
                      <w:color w:val="auto"/>
                      <w:kern w:val="0"/>
                      <w:sz w:val="21"/>
                      <w:szCs w:val="21"/>
                      <w:highlight w:val="none"/>
                      <w:lang w:val="en-US" w:eastAsia="zh-CN"/>
                    </w:rPr>
                    <w:t>沣西新城大王污水处理厂</w:t>
                  </w:r>
                  <w:r>
                    <w:rPr>
                      <w:rFonts w:hint="default" w:ascii="Times New Roman" w:hAnsi="Times New Roman" w:cs="Times New Roman"/>
                      <w:color w:val="auto"/>
                      <w:kern w:val="0"/>
                      <w:sz w:val="21"/>
                      <w:szCs w:val="21"/>
                      <w:highlight w:val="none"/>
                      <w:lang w:val="en-US" w:eastAsia="zh-CN"/>
                    </w:rPr>
                    <w:t>深度处理；设备冷却废水循环利用，定期更换的冷却废水经化粪池收集后由市政管网排入</w:t>
                  </w:r>
                  <w:r>
                    <w:rPr>
                      <w:rFonts w:hint="eastAsia" w:cs="Times New Roman"/>
                      <w:color w:val="auto"/>
                      <w:kern w:val="0"/>
                      <w:sz w:val="21"/>
                      <w:szCs w:val="21"/>
                      <w:highlight w:val="none"/>
                      <w:lang w:val="en-US" w:eastAsia="zh-CN"/>
                    </w:rPr>
                    <w:t>沣西新城大王污水处理厂</w:t>
                  </w:r>
                  <w:r>
                    <w:rPr>
                      <w:rFonts w:hint="default" w:ascii="Times New Roman" w:hAnsi="Times New Roman" w:cs="Times New Roman"/>
                      <w:color w:val="auto"/>
                      <w:kern w:val="0"/>
                      <w:sz w:val="21"/>
                      <w:szCs w:val="21"/>
                      <w:highlight w:val="none"/>
                      <w:lang w:val="en-US" w:eastAsia="zh-CN"/>
                    </w:rPr>
                    <w:t>深度处理</w:t>
                  </w:r>
                  <w:r>
                    <w:rPr>
                      <w:rFonts w:hint="eastAsia" w:cs="Times New Roman"/>
                      <w:color w:val="auto"/>
                      <w:kern w:val="0"/>
                      <w:sz w:val="21"/>
                      <w:szCs w:val="21"/>
                      <w:highlight w:val="none"/>
                      <w:lang w:val="en-US" w:eastAsia="zh-CN"/>
                    </w:rPr>
                    <w:t>。</w:t>
                  </w:r>
                </w:p>
              </w:tc>
              <w:tc>
                <w:tcPr>
                  <w:tcW w:w="278" w:type="pct"/>
                  <w:tcBorders>
                    <w:tl2br w:val="nil"/>
                    <w:tr2bl w:val="nil"/>
                  </w:tcBorders>
                  <w:noWrap w:val="0"/>
                  <w:vAlign w:val="center"/>
                </w:tcPr>
                <w:p w14:paraId="13B58F1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22B79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vMerge w:val="continue"/>
                  <w:tcBorders>
                    <w:tl2br w:val="nil"/>
                    <w:tr2bl w:val="nil"/>
                  </w:tcBorders>
                  <w:noWrap w:val="0"/>
                  <w:vAlign w:val="center"/>
                </w:tcPr>
                <w:p w14:paraId="15589270">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cs="Times New Roman"/>
                      <w:color w:val="auto"/>
                      <w:kern w:val="0"/>
                      <w:sz w:val="21"/>
                      <w:szCs w:val="21"/>
                      <w:highlight w:val="none"/>
                    </w:rPr>
                  </w:pPr>
                </w:p>
              </w:tc>
              <w:tc>
                <w:tcPr>
                  <w:tcW w:w="1842" w:type="pct"/>
                  <w:tcBorders>
                    <w:tl2br w:val="nil"/>
                    <w:tr2bl w:val="nil"/>
                  </w:tcBorders>
                  <w:noWrap w:val="0"/>
                  <w:vAlign w:val="top"/>
                </w:tcPr>
                <w:p w14:paraId="48039918">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对产业的引入采取</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底线控制、优势相关、鼓励创新</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的原则。底线控制，即淘汰三高（高污染、高耗能、高耗水如铸造、化工等），凡是非三高企业都可引入；优势相关，即和信息产业相关联的产业、其他战略性新兴产业、旅游和现代农业；鼓励创新，即创新投入产出高的高新技术企业和创新服务相关的现代服务业。</w:t>
                  </w:r>
                </w:p>
              </w:tc>
              <w:tc>
                <w:tcPr>
                  <w:tcW w:w="1665" w:type="pct"/>
                  <w:tcBorders>
                    <w:tl2br w:val="nil"/>
                    <w:tr2bl w:val="nil"/>
                  </w:tcBorders>
                  <w:noWrap w:val="0"/>
                  <w:vAlign w:val="top"/>
                </w:tcPr>
                <w:p w14:paraId="7CFEDBE8">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rPr>
                  </w:pPr>
                </w:p>
                <w:p w14:paraId="01E36AC8">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rPr>
                  </w:pPr>
                </w:p>
                <w:p w14:paraId="06C61427">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rPr>
                  </w:pPr>
                </w:p>
                <w:p w14:paraId="128A4AAF">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rPr>
                  </w:pPr>
                </w:p>
                <w:p w14:paraId="1C381734">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本项目为有色金属压延加工钛材料制造行业，不属于高污染、高耗能、高耗水企业。</w:t>
                  </w:r>
                </w:p>
              </w:tc>
              <w:tc>
                <w:tcPr>
                  <w:tcW w:w="278" w:type="pct"/>
                  <w:tcBorders>
                    <w:tl2br w:val="nil"/>
                    <w:tr2bl w:val="nil"/>
                  </w:tcBorders>
                  <w:noWrap w:val="0"/>
                  <w:vAlign w:val="center"/>
                </w:tcPr>
                <w:p w14:paraId="5AE40EA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169A3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vMerge w:val="continue"/>
                  <w:tcBorders>
                    <w:tl2br w:val="nil"/>
                    <w:tr2bl w:val="nil"/>
                  </w:tcBorders>
                  <w:noWrap w:val="0"/>
                  <w:vAlign w:val="center"/>
                </w:tcPr>
                <w:p w14:paraId="7434E321">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cs="Times New Roman"/>
                      <w:color w:val="auto"/>
                      <w:kern w:val="0"/>
                      <w:sz w:val="21"/>
                      <w:szCs w:val="21"/>
                      <w:highlight w:val="none"/>
                    </w:rPr>
                  </w:pPr>
                </w:p>
              </w:tc>
              <w:tc>
                <w:tcPr>
                  <w:tcW w:w="1842" w:type="pct"/>
                  <w:tcBorders>
                    <w:tl2br w:val="nil"/>
                    <w:tr2bl w:val="nil"/>
                  </w:tcBorders>
                  <w:noWrap w:val="0"/>
                  <w:vAlign w:val="center"/>
                </w:tcPr>
                <w:p w14:paraId="62851D35">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区内建设污水处理厂，对地表水有较大的改善，但考虑到距离最终的规划目标仍有差距，评价要求严禁高耗水、高排水企业入驻区内，严格控制污水外排；固废必须按照《一般工业固体废物处贮存、处置场污染控制标准》（GB18599-2001）要求，进行贮存和处置；危废的产生和管理按照陕西省环境保护厅颁发的《危险废物转移联单管理办法》等有关规定文件的要求，收集后送往危废处理处置中心。</w:t>
                  </w:r>
                </w:p>
              </w:tc>
              <w:tc>
                <w:tcPr>
                  <w:tcW w:w="1665" w:type="pct"/>
                  <w:tcBorders>
                    <w:tl2br w:val="nil"/>
                    <w:tr2bl w:val="nil"/>
                  </w:tcBorders>
                  <w:noWrap w:val="0"/>
                  <w:vAlign w:val="center"/>
                </w:tcPr>
                <w:p w14:paraId="2B7742A6">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本项目为有色金属压延加工钛材料制造行业，不属于高耗水行业。</w:t>
                  </w:r>
                  <w:r>
                    <w:rPr>
                      <w:rFonts w:hint="default" w:ascii="Times New Roman" w:hAnsi="Times New Roman" w:cs="Times New Roman"/>
                      <w:color w:val="auto"/>
                      <w:kern w:val="0"/>
                      <w:sz w:val="21"/>
                      <w:szCs w:val="21"/>
                      <w:highlight w:val="none"/>
                      <w:lang w:val="en-US" w:eastAsia="zh-CN"/>
                    </w:rPr>
                    <w:t>本项目</w:t>
                  </w:r>
                  <w:r>
                    <w:rPr>
                      <w:rFonts w:hint="eastAsia" w:cs="Times New Roman"/>
                      <w:color w:val="auto"/>
                      <w:kern w:val="0"/>
                      <w:sz w:val="21"/>
                      <w:szCs w:val="21"/>
                      <w:highlight w:val="none"/>
                      <w:lang w:val="en-US" w:eastAsia="zh-CN"/>
                    </w:rPr>
                    <w:t>生活污水及生产废水近期经厂区化粪池收集后，排入厂区的污水收集池，定期由槽车拉运至沣西新城大王污水处理厂处理；远期</w:t>
                  </w:r>
                  <w:r>
                    <w:rPr>
                      <w:rFonts w:hint="default" w:ascii="Times New Roman" w:hAnsi="Times New Roman" w:cs="Times New Roman"/>
                      <w:color w:val="auto"/>
                      <w:kern w:val="0"/>
                      <w:sz w:val="21"/>
                      <w:szCs w:val="21"/>
                      <w:highlight w:val="none"/>
                      <w:lang w:val="en-US" w:eastAsia="zh-CN"/>
                    </w:rPr>
                    <w:t>生活污水经化粪池收集后经市政管网排入</w:t>
                  </w:r>
                  <w:r>
                    <w:rPr>
                      <w:rFonts w:hint="eastAsia" w:cs="Times New Roman"/>
                      <w:color w:val="auto"/>
                      <w:kern w:val="0"/>
                      <w:sz w:val="21"/>
                      <w:szCs w:val="21"/>
                      <w:highlight w:val="none"/>
                      <w:lang w:val="en-US" w:eastAsia="zh-CN"/>
                    </w:rPr>
                    <w:t>沣西新城大王污水处理厂</w:t>
                  </w:r>
                  <w:r>
                    <w:rPr>
                      <w:rFonts w:hint="default" w:ascii="Times New Roman" w:hAnsi="Times New Roman" w:cs="Times New Roman"/>
                      <w:color w:val="auto"/>
                      <w:kern w:val="0"/>
                      <w:sz w:val="21"/>
                      <w:szCs w:val="21"/>
                      <w:highlight w:val="none"/>
                      <w:lang w:val="en-US" w:eastAsia="zh-CN"/>
                    </w:rPr>
                    <w:t>深度处理；设备冷却废水循环利用，定期更换的冷却废水经化粪池收集后由市政管网排入</w:t>
                  </w:r>
                  <w:r>
                    <w:rPr>
                      <w:rFonts w:hint="eastAsia" w:cs="Times New Roman"/>
                      <w:color w:val="auto"/>
                      <w:kern w:val="0"/>
                      <w:sz w:val="21"/>
                      <w:szCs w:val="21"/>
                      <w:highlight w:val="none"/>
                      <w:lang w:val="en-US" w:eastAsia="zh-CN"/>
                    </w:rPr>
                    <w:t>沣西新城大王污水处理厂</w:t>
                  </w:r>
                  <w:r>
                    <w:rPr>
                      <w:rFonts w:hint="default" w:ascii="Times New Roman" w:hAnsi="Times New Roman" w:cs="Times New Roman"/>
                      <w:color w:val="auto"/>
                      <w:kern w:val="0"/>
                      <w:sz w:val="21"/>
                      <w:szCs w:val="21"/>
                      <w:highlight w:val="none"/>
                      <w:lang w:val="en-US" w:eastAsia="zh-CN"/>
                    </w:rPr>
                    <w:t>深度处理</w:t>
                  </w:r>
                  <w:r>
                    <w:rPr>
                      <w:rFonts w:hint="default" w:ascii="Times New Roman" w:hAnsi="Times New Roman" w:cs="Times New Roman"/>
                      <w:color w:val="auto"/>
                      <w:kern w:val="0"/>
                      <w:sz w:val="21"/>
                      <w:szCs w:val="21"/>
                      <w:highlight w:val="none"/>
                      <w:lang w:val="en-US" w:eastAsia="zh-CN"/>
                    </w:rPr>
                    <w:t>；切割废水进入设备自带循环水箱经沉淀后再次循环利用，不外排。生活垃圾分类收集后由环卫部门统一清运；一般工业固废合理处置；危险废物在危废贮存库暂存，定期交有资质单位处置，并严格执行危险废物转移联单制度</w:t>
                  </w:r>
                  <w:r>
                    <w:rPr>
                      <w:rFonts w:hint="eastAsia" w:ascii="Times New Roman" w:hAnsi="Times New Roman" w:cs="Times New Roman"/>
                      <w:color w:val="auto"/>
                      <w:kern w:val="0"/>
                      <w:sz w:val="21"/>
                      <w:szCs w:val="21"/>
                      <w:highlight w:val="none"/>
                      <w:lang w:val="en-US" w:eastAsia="zh-CN"/>
                    </w:rPr>
                    <w:t>。</w:t>
                  </w:r>
                </w:p>
              </w:tc>
              <w:tc>
                <w:tcPr>
                  <w:tcW w:w="278" w:type="pct"/>
                  <w:tcBorders>
                    <w:tl2br w:val="nil"/>
                    <w:tr2bl w:val="nil"/>
                  </w:tcBorders>
                  <w:noWrap w:val="0"/>
                  <w:vAlign w:val="center"/>
                </w:tcPr>
                <w:p w14:paraId="77A8B89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7267F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vMerge w:val="continue"/>
                  <w:tcBorders>
                    <w:tl2br w:val="nil"/>
                    <w:tr2bl w:val="nil"/>
                  </w:tcBorders>
                  <w:noWrap w:val="0"/>
                  <w:vAlign w:val="center"/>
                </w:tcPr>
                <w:p w14:paraId="23AACA4D">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cs="Times New Roman"/>
                      <w:color w:val="auto"/>
                      <w:kern w:val="0"/>
                      <w:sz w:val="21"/>
                      <w:szCs w:val="21"/>
                      <w:highlight w:val="none"/>
                    </w:rPr>
                  </w:pPr>
                </w:p>
              </w:tc>
              <w:tc>
                <w:tcPr>
                  <w:tcW w:w="1842" w:type="pct"/>
                  <w:tcBorders>
                    <w:tl2br w:val="nil"/>
                    <w:tr2bl w:val="nil"/>
                  </w:tcBorders>
                  <w:noWrap w:val="0"/>
                  <w:vAlign w:val="center"/>
                </w:tcPr>
                <w:p w14:paraId="202A3DCF">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结合区域大气环境质量改善目标要求，明确无煤化城市建设阶段性目标，进一步优化能源结构，加大无干扰干热岩供热技术的应用推广，加强挥发性有机物产生企业监督管理，强化移动源污染防治。</w:t>
                  </w:r>
                </w:p>
              </w:tc>
              <w:tc>
                <w:tcPr>
                  <w:tcW w:w="1665" w:type="pct"/>
                  <w:tcBorders>
                    <w:tl2br w:val="nil"/>
                    <w:tr2bl w:val="nil"/>
                  </w:tcBorders>
                  <w:noWrap w:val="0"/>
                  <w:vAlign w:val="center"/>
                </w:tcPr>
                <w:p w14:paraId="13DF81E2">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本项目不使用煤作为能源，运营过程中产生少量的焊接烟尘经设备自带的焊烟净化器处理后无组织排放。实验室废气经通风橱引至楼顶专用风道排放</w:t>
                  </w:r>
                  <w:r>
                    <w:rPr>
                      <w:rFonts w:hint="eastAsia" w:cs="Times New Roman"/>
                      <w:color w:val="auto"/>
                      <w:kern w:val="0"/>
                      <w:sz w:val="21"/>
                      <w:szCs w:val="21"/>
                      <w:highlight w:val="none"/>
                      <w:lang w:eastAsia="zh-CN"/>
                    </w:rPr>
                    <w:t>。</w:t>
                  </w:r>
                </w:p>
              </w:tc>
              <w:tc>
                <w:tcPr>
                  <w:tcW w:w="278" w:type="pct"/>
                  <w:tcBorders>
                    <w:tl2br w:val="nil"/>
                    <w:tr2bl w:val="nil"/>
                  </w:tcBorders>
                  <w:noWrap w:val="0"/>
                  <w:vAlign w:val="center"/>
                </w:tcPr>
                <w:p w14:paraId="6565A32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2EC04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vMerge w:val="continue"/>
                  <w:tcBorders>
                    <w:tl2br w:val="nil"/>
                    <w:tr2bl w:val="nil"/>
                  </w:tcBorders>
                  <w:noWrap w:val="0"/>
                  <w:vAlign w:val="center"/>
                </w:tcPr>
                <w:p w14:paraId="5A070605">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cs="Times New Roman"/>
                      <w:color w:val="auto"/>
                      <w:kern w:val="0"/>
                      <w:sz w:val="21"/>
                      <w:szCs w:val="21"/>
                      <w:highlight w:val="none"/>
                    </w:rPr>
                  </w:pPr>
                </w:p>
              </w:tc>
              <w:tc>
                <w:tcPr>
                  <w:tcW w:w="1842" w:type="pct"/>
                  <w:tcBorders>
                    <w:tl2br w:val="nil"/>
                    <w:tr2bl w:val="nil"/>
                  </w:tcBorders>
                  <w:noWrap w:val="0"/>
                  <w:vAlign w:val="top"/>
                </w:tcPr>
                <w:p w14:paraId="35360CBC">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rPr>
                  </w:pPr>
                </w:p>
                <w:p w14:paraId="0A0326E8">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rPr>
                  </w:pPr>
                </w:p>
                <w:p w14:paraId="6BD2B3EC">
                  <w:pPr>
                    <w:keepNext w:val="0"/>
                    <w:keepLines w:val="0"/>
                    <w:pageBreakBefore w:val="0"/>
                    <w:suppressLineNumbers w:val="0"/>
                    <w:tabs>
                      <w:tab w:val="left" w:pos="720"/>
                    </w:tabs>
                    <w:kinsoku/>
                    <w:wordWrap/>
                    <w:overflowPunct/>
                    <w:topLinePunct w:val="0"/>
                    <w:bidi w:val="0"/>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按声环境功能区划的要求实施建设布局，加强对各功能分区的环境噪声管理。</w:t>
                  </w:r>
                </w:p>
              </w:tc>
              <w:tc>
                <w:tcPr>
                  <w:tcW w:w="1665" w:type="pct"/>
                  <w:tcBorders>
                    <w:tl2br w:val="nil"/>
                    <w:tr2bl w:val="nil"/>
                  </w:tcBorders>
                  <w:noWrap w:val="0"/>
                  <w:vAlign w:val="top"/>
                </w:tcPr>
                <w:p w14:paraId="0A14CE5D">
                  <w:pPr>
                    <w:keepNext w:val="0"/>
                    <w:keepLines w:val="0"/>
                    <w:pageBreakBefore w:val="0"/>
                    <w:widowControl w:val="0"/>
                    <w:suppressLineNumbers w:val="0"/>
                    <w:tabs>
                      <w:tab w:val="left" w:pos="720"/>
                    </w:tabs>
                    <w:kinsoku/>
                    <w:wordWrap w:val="0"/>
                    <w:overflowPunct/>
                    <w:topLinePunct w:val="0"/>
                    <w:autoSpaceDE/>
                    <w:autoSpaceDN/>
                    <w:bidi w:val="0"/>
                    <w:adjustRightInd/>
                    <w:snapToGrid/>
                    <w:spacing w:before="0" w:beforeAutospacing="0" w:after="0" w:afterAutospacing="0" w:line="360" w:lineRule="atLeas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企业加强设备日常维护使其工作状态良好，再加上厂房隔声、基础减振以及合理布局等措施，各厂界噪声均满足《工业企业厂界环境噪声排放标准》（GB12348-2008）中3类标准要求。</w:t>
                  </w:r>
                </w:p>
              </w:tc>
              <w:tc>
                <w:tcPr>
                  <w:tcW w:w="278" w:type="pct"/>
                  <w:tcBorders>
                    <w:tl2br w:val="nil"/>
                    <w:tr2bl w:val="nil"/>
                  </w:tcBorders>
                  <w:noWrap w:val="0"/>
                  <w:vAlign w:val="center"/>
                </w:tcPr>
                <w:p w14:paraId="240C6FD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bl>
          <w:p w14:paraId="1E7BF35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p>
        </w:tc>
      </w:tr>
      <w:tr w14:paraId="74E2F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96" w:type="dxa"/>
            <w:noWrap w:val="0"/>
            <w:vAlign w:val="center"/>
          </w:tcPr>
          <w:p w14:paraId="10A9181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w:t>
            </w:r>
          </w:p>
          <w:p w14:paraId="38A17DF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4"/>
                <w:szCs w:val="24"/>
                <w:highlight w:val="none"/>
              </w:rPr>
              <w:t>性分析</w:t>
            </w:r>
          </w:p>
        </w:tc>
        <w:tc>
          <w:tcPr>
            <w:tcW w:w="7909" w:type="dxa"/>
            <w:gridSpan w:val="3"/>
            <w:noWrap w:val="0"/>
            <w:vAlign w:val="center"/>
          </w:tcPr>
          <w:p w14:paraId="0E9BEF97">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1、产业政策符合性</w:t>
            </w:r>
          </w:p>
          <w:p w14:paraId="6C99061B">
            <w:pPr>
              <w:keepNext w:val="0"/>
              <w:keepLines w:val="0"/>
              <w:pageBreakBefore w:val="0"/>
              <w:widowControl w:val="0"/>
              <w:suppressLineNumbers w:val="0"/>
              <w:kinsoku/>
              <w:wordWrap w:val="0"/>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根据国家发展改革委</w:t>
            </w:r>
            <w:r>
              <w:rPr>
                <w:rFonts w:hint="default" w:ascii="Times New Roman" w:hAnsi="Times New Roman" w:eastAsia="宋体" w:cs="Times New Roman"/>
                <w:color w:val="auto"/>
                <w:sz w:val="24"/>
                <w:highlight w:val="none"/>
                <w:lang w:eastAsia="zh-CN"/>
              </w:rPr>
              <w:t>《产业结构调整指导目录（2024年本）》</w:t>
            </w: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szCs w:val="22"/>
                <w:highlight w:val="none"/>
                <w:lang w:eastAsia="zh-CN"/>
              </w:rPr>
              <w:t>不属于鼓励类、限制类及淘汰类，因此视为允许类；</w:t>
            </w:r>
            <w:r>
              <w:rPr>
                <w:rFonts w:hint="default" w:ascii="Times New Roman" w:hAnsi="Times New Roman" w:eastAsia="宋体" w:cs="Times New Roman"/>
                <w:color w:val="auto"/>
                <w:sz w:val="24"/>
                <w:highlight w:val="none"/>
              </w:rPr>
              <w:t>项目不属于国家发展改革委、商务部联合印发《市场准入负面清单（202</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年版）》（发改体改规〔2022〕</w:t>
            </w:r>
            <w:r>
              <w:rPr>
                <w:rFonts w:hint="default" w:ascii="Times New Roman" w:hAnsi="Times New Roman" w:eastAsia="宋体" w:cs="Times New Roman"/>
                <w:color w:val="auto"/>
                <w:sz w:val="24"/>
                <w:highlight w:val="none"/>
                <w:lang w:val="en-US" w:eastAsia="zh-CN"/>
              </w:rPr>
              <w:t>397</w:t>
            </w:r>
            <w:r>
              <w:rPr>
                <w:rFonts w:hint="default" w:ascii="Times New Roman" w:hAnsi="Times New Roman" w:eastAsia="宋体" w:cs="Times New Roman"/>
                <w:color w:val="auto"/>
                <w:sz w:val="24"/>
                <w:highlight w:val="none"/>
              </w:rPr>
              <w:t>号）内禁止</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szCs w:val="22"/>
                <w:highlight w:val="none"/>
                <w:lang w:eastAsia="zh-CN"/>
              </w:rPr>
              <w:t>根据《陕西省限制投资类产业指导目录》（陕发改产业〔2007〕97号），本项目不属于文中所列限制投资类产业</w:t>
            </w:r>
            <w:r>
              <w:rPr>
                <w:rFonts w:hint="eastAsia" w:cs="Times New Roman"/>
                <w:color w:val="auto"/>
                <w:sz w:val="24"/>
                <w:highlight w:val="none"/>
                <w:lang w:eastAsia="zh-CN"/>
              </w:rPr>
              <w:t>。</w:t>
            </w:r>
            <w:r>
              <w:rPr>
                <w:rFonts w:hint="eastAsia" w:cs="Times New Roman"/>
                <w:color w:val="auto"/>
                <w:sz w:val="24"/>
                <w:highlight w:val="none"/>
                <w:lang w:val="en-US" w:eastAsia="zh-CN"/>
              </w:rPr>
              <w:t>根据《环境保护综合名录》（2021年版），本项目产品不在“高污染、高环境风险”产品名录中</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同时，本项目已于202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年1月</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日取得陕西省西咸新区沣西新城管理委员会出具的《</w:t>
            </w:r>
            <w:r>
              <w:rPr>
                <w:rFonts w:hint="eastAsia" w:cs="Times New Roman"/>
                <w:color w:val="auto"/>
                <w:sz w:val="24"/>
                <w:highlight w:val="none"/>
                <w:lang w:eastAsia="zh-CN"/>
              </w:rPr>
              <w:t>先进钛合金材料产业园</w:t>
            </w:r>
            <w:r>
              <w:rPr>
                <w:rFonts w:hint="default" w:ascii="Times New Roman" w:hAnsi="Times New Roman" w:eastAsia="宋体" w:cs="Times New Roman"/>
                <w:color w:val="auto"/>
                <w:sz w:val="24"/>
                <w:highlight w:val="none"/>
              </w:rPr>
              <w:t>备案确认书》，项目代码</w:t>
            </w:r>
            <w:r>
              <w:rPr>
                <w:rFonts w:hint="eastAsia" w:cs="Times New Roman"/>
                <w:color w:val="auto"/>
                <w:sz w:val="24"/>
                <w:highlight w:val="none"/>
                <w:lang w:eastAsia="zh-CN"/>
              </w:rPr>
              <w:t>2310-611205-04-01-855179</w:t>
            </w:r>
            <w:r>
              <w:rPr>
                <w:rFonts w:hint="default" w:ascii="Times New Roman" w:hAnsi="Times New Roman" w:eastAsia="宋体" w:cs="Times New Roman"/>
                <w:color w:val="auto"/>
                <w:sz w:val="24"/>
                <w:highlight w:val="none"/>
              </w:rPr>
              <w:t>。</w:t>
            </w:r>
          </w:p>
          <w:p w14:paraId="2253B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综上所述</w:t>
            </w:r>
            <w:r>
              <w:rPr>
                <w:rFonts w:hint="default" w:ascii="Times New Roman" w:hAnsi="Times New Roman" w:eastAsia="宋体" w:cs="Times New Roman"/>
                <w:color w:val="auto"/>
                <w:sz w:val="24"/>
                <w:szCs w:val="24"/>
                <w:highlight w:val="none"/>
              </w:rPr>
              <w:t>，本项目符合国家及</w:t>
            </w:r>
            <w:r>
              <w:rPr>
                <w:rFonts w:hint="default" w:ascii="Times New Roman" w:hAnsi="Times New Roman" w:eastAsia="宋体" w:cs="Times New Roman"/>
                <w:color w:val="auto"/>
                <w:sz w:val="24"/>
                <w:szCs w:val="24"/>
                <w:highlight w:val="none"/>
                <w:lang w:val="en-US" w:eastAsia="zh-CN"/>
              </w:rPr>
              <w:t>当地</w:t>
            </w:r>
            <w:r>
              <w:rPr>
                <w:rFonts w:hint="default" w:ascii="Times New Roman" w:hAnsi="Times New Roman" w:eastAsia="宋体" w:cs="Times New Roman"/>
                <w:color w:val="auto"/>
                <w:sz w:val="24"/>
                <w:szCs w:val="24"/>
                <w:highlight w:val="none"/>
              </w:rPr>
              <w:t>现行的有关产业政策。</w:t>
            </w:r>
          </w:p>
          <w:p w14:paraId="6BAD3150">
            <w:pPr>
              <w:pStyle w:val="74"/>
              <w:keepNext w:val="0"/>
              <w:keepLines w:val="0"/>
              <w:suppressLineNumbers w:val="0"/>
              <w:spacing w:before="0" w:beforeAutospacing="0" w:after="0" w:afterAutospacing="0" w:line="348"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2、“三线一单”符合性</w:t>
            </w:r>
          </w:p>
          <w:p w14:paraId="111CAB16">
            <w:pPr>
              <w:keepNext w:val="0"/>
              <w:keepLines w:val="0"/>
              <w:suppressLineNumbers w:val="0"/>
              <w:spacing w:before="0" w:beforeAutospacing="0" w:after="0" w:afterAutospacing="0" w:line="336"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根据《陕西省人民政府关于加快实施</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三线一单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生态环境分区管控的意见》（陕政发〔2020〕11号）</w:t>
            </w:r>
            <w:r>
              <w:rPr>
                <w:rFonts w:hint="default" w:ascii="Times New Roman" w:hAnsi="Times New Roman" w:eastAsia="宋体" w:cs="Times New Roman"/>
                <w:color w:val="auto"/>
                <w:sz w:val="24"/>
                <w:highlight w:val="none"/>
                <w:lang w:eastAsia="zh-CN"/>
              </w:rPr>
              <w:t>、</w:t>
            </w:r>
            <w:r>
              <w:rPr>
                <w:rFonts w:hint="eastAsia"/>
                <w:b w:val="0"/>
                <w:bCs w:val="0"/>
                <w:color w:val="auto"/>
                <w:sz w:val="24"/>
                <w:szCs w:val="21"/>
                <w:highlight w:val="none"/>
                <w:lang w:val="en-US" w:eastAsia="zh-CN"/>
              </w:rPr>
              <w:t>《西安市人民政府关于印发“三线一单”生态环境分区管控方案的通知》（市政发〔2021〕22号）</w:t>
            </w:r>
            <w:r>
              <w:rPr>
                <w:rFonts w:hint="default" w:ascii="Times New Roman" w:hAnsi="Times New Roman" w:eastAsia="宋体" w:cs="Times New Roman"/>
                <w:color w:val="auto"/>
                <w:sz w:val="24"/>
                <w:highlight w:val="none"/>
                <w:lang w:val="en-US" w:eastAsia="zh-CN"/>
              </w:rPr>
              <w:t>以及《</w:t>
            </w:r>
            <w:r>
              <w:rPr>
                <w:rFonts w:hint="default" w:ascii="Times New Roman" w:hAnsi="Times New Roman" w:eastAsia="宋体" w:cs="Times New Roman"/>
                <w:color w:val="auto"/>
                <w:sz w:val="24"/>
                <w:highlight w:val="none"/>
              </w:rPr>
              <w:t>陕西省</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三线一单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生态环境分区管控</w:t>
            </w:r>
            <w:r>
              <w:rPr>
                <w:rFonts w:hint="default" w:ascii="Times New Roman" w:hAnsi="Times New Roman" w:eastAsia="宋体" w:cs="Times New Roman"/>
                <w:color w:val="auto"/>
                <w:sz w:val="24"/>
                <w:highlight w:val="none"/>
                <w:lang w:val="en-US" w:eastAsia="zh-CN"/>
              </w:rPr>
              <w:t>应用技术指南：环境影响评价（试行）》（</w:t>
            </w:r>
            <w:r>
              <w:rPr>
                <w:rFonts w:hint="default" w:ascii="Times New Roman" w:hAnsi="Times New Roman" w:eastAsia="宋体" w:cs="Times New Roman"/>
                <w:color w:val="auto"/>
                <w:sz w:val="24"/>
                <w:highlight w:val="none"/>
              </w:rPr>
              <w:t>陕</w:t>
            </w:r>
            <w:r>
              <w:rPr>
                <w:rFonts w:hint="default" w:ascii="Times New Roman" w:hAnsi="Times New Roman" w:eastAsia="宋体" w:cs="Times New Roman"/>
                <w:color w:val="auto"/>
                <w:sz w:val="24"/>
                <w:highlight w:val="none"/>
                <w:lang w:val="en-US" w:eastAsia="zh-CN"/>
              </w:rPr>
              <w:t>环办</w:t>
            </w:r>
            <w:r>
              <w:rPr>
                <w:rFonts w:hint="default" w:ascii="Times New Roman" w:hAnsi="Times New Roman" w:eastAsia="宋体" w:cs="Times New Roman"/>
                <w:color w:val="auto"/>
                <w:sz w:val="24"/>
                <w:highlight w:val="none"/>
              </w:rPr>
              <w:t>发〔202</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76</w:t>
            </w:r>
            <w:r>
              <w:rPr>
                <w:rFonts w:hint="default" w:ascii="Times New Roman" w:hAnsi="Times New Roman" w:eastAsia="宋体" w:cs="Times New Roman"/>
                <w:color w:val="auto"/>
                <w:sz w:val="24"/>
                <w:highlight w:val="none"/>
              </w:rPr>
              <w:t>号</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kern w:val="24"/>
                <w:sz w:val="24"/>
                <w:highlight w:val="none"/>
              </w:rPr>
              <w:t>符合性分析。</w:t>
            </w: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三线一单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生态环境分区管控符合情况</w:t>
            </w:r>
            <w:r>
              <w:rPr>
                <w:rFonts w:hint="default" w:ascii="Times New Roman" w:hAnsi="Times New Roman" w:eastAsia="宋体" w:cs="Times New Roman"/>
                <w:color w:val="auto"/>
                <w:sz w:val="24"/>
                <w:highlight w:val="none"/>
                <w:lang w:val="en-US" w:eastAsia="zh-CN"/>
              </w:rPr>
              <w:t>分析如下</w:t>
            </w:r>
            <w:r>
              <w:rPr>
                <w:rFonts w:hint="default" w:ascii="Times New Roman" w:hAnsi="Times New Roman" w:eastAsia="宋体" w:cs="Times New Roman"/>
                <w:color w:val="auto"/>
                <w:sz w:val="24"/>
                <w:highlight w:val="none"/>
                <w:lang w:eastAsia="zh-CN"/>
              </w:rPr>
              <w:t>：</w:t>
            </w:r>
          </w:p>
          <w:p w14:paraId="0EF8AAA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  “三线一单”符合性分析表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702"/>
              <w:gridCol w:w="933"/>
              <w:gridCol w:w="5456"/>
              <w:gridCol w:w="569"/>
            </w:tblGrid>
            <w:tr w14:paraId="49DAC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458" w:type="pct"/>
                  <w:tcBorders>
                    <w:tl2br w:val="nil"/>
                    <w:tr2bl w:val="nil"/>
                  </w:tcBorders>
                  <w:noWrap w:val="0"/>
                  <w:vAlign w:val="center"/>
                </w:tcPr>
                <w:p w14:paraId="02823D0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val="en-US" w:eastAsia="zh-CN"/>
                    </w:rPr>
                    <w:t>名称</w:t>
                  </w:r>
                </w:p>
              </w:tc>
              <w:tc>
                <w:tcPr>
                  <w:tcW w:w="609" w:type="pct"/>
                  <w:tcBorders>
                    <w:tl2br w:val="nil"/>
                    <w:tr2bl w:val="nil"/>
                  </w:tcBorders>
                  <w:noWrap w:val="0"/>
                  <w:vAlign w:val="center"/>
                </w:tcPr>
                <w:p w14:paraId="6767DC0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相关内容</w:t>
                  </w:r>
                </w:p>
              </w:tc>
              <w:tc>
                <w:tcPr>
                  <w:tcW w:w="3560" w:type="pct"/>
                  <w:tcBorders>
                    <w:tl2br w:val="nil"/>
                    <w:tr2bl w:val="nil"/>
                  </w:tcBorders>
                  <w:noWrap w:val="0"/>
                  <w:vAlign w:val="center"/>
                </w:tcPr>
                <w:p w14:paraId="175CB98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项目情况</w:t>
                  </w:r>
                </w:p>
              </w:tc>
              <w:tc>
                <w:tcPr>
                  <w:tcW w:w="371" w:type="pct"/>
                  <w:tcBorders>
                    <w:tl2br w:val="nil"/>
                    <w:tr2bl w:val="nil"/>
                  </w:tcBorders>
                  <w:noWrap w:val="0"/>
                  <w:vAlign w:val="center"/>
                </w:tcPr>
                <w:p w14:paraId="6F662C1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结论</w:t>
                  </w:r>
                </w:p>
              </w:tc>
            </w:tr>
            <w:tr w14:paraId="778B1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58" w:type="pct"/>
                  <w:vMerge w:val="restart"/>
                  <w:tcBorders>
                    <w:tl2br w:val="nil"/>
                    <w:tr2bl w:val="nil"/>
                  </w:tcBorders>
                  <w:noWrap w:val="0"/>
                  <w:vAlign w:val="center"/>
                </w:tcPr>
                <w:p w14:paraId="65069B6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eastAsia="zh-CN"/>
                    </w:rPr>
                    <w:t>“三线一单”符合性分析</w:t>
                  </w:r>
                </w:p>
              </w:tc>
              <w:tc>
                <w:tcPr>
                  <w:tcW w:w="609" w:type="pct"/>
                  <w:tcBorders>
                    <w:tl2br w:val="nil"/>
                    <w:tr2bl w:val="nil"/>
                  </w:tcBorders>
                  <w:noWrap w:val="0"/>
                  <w:vAlign w:val="center"/>
                </w:tcPr>
                <w:p w14:paraId="0ED95E9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01091E5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6C78319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1D300F5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6735A4C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27D4517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56D77B3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583D928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47694A2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生态保护红线</w:t>
                  </w:r>
                </w:p>
              </w:tc>
              <w:tc>
                <w:tcPr>
                  <w:tcW w:w="3560" w:type="pct"/>
                  <w:tcBorders>
                    <w:tl2br w:val="nil"/>
                    <w:tr2bl w:val="nil"/>
                  </w:tcBorders>
                  <w:noWrap w:val="0"/>
                  <w:vAlign w:val="center"/>
                </w:tcPr>
                <w:p w14:paraId="1FF3A9A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根据《西安市“三线一单”生态环境分区管控方案》（市政发[2021]22号），按照保护优先、衔接整合、有效管理的原则，将全市统筹划定为优先保护和重点管控两类环境管控单元共158个，实施生态环境分区管控。重点管控单元—涉及水、大气、土壤、自然资源等资源环境要素重点管控的区域，主要包括城镇规划区、产业园区和资源开发强度大、污染物排放强度高的区域等。全市划定重点管控单元65个，主要分布在除秦岭北麓以外的区域；项目位于西咸新区沣西新城，根据《西安市生态环境管控单元分布图》，项目地属于重点管控单元，不在生态红线范围内。重点管控单元以提升资源利用效率、加强污染物减排治理和环境风险防控为重点。本项目产生的各项污染物均能得到合理的处理与处置，做到达标排放或妥善处置</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综上，本项目符合生态环境分区管控的要求。</w:t>
                  </w:r>
                </w:p>
              </w:tc>
              <w:tc>
                <w:tcPr>
                  <w:tcW w:w="371" w:type="pct"/>
                  <w:tcBorders>
                    <w:tl2br w:val="nil"/>
                    <w:tr2bl w:val="nil"/>
                  </w:tcBorders>
                  <w:noWrap w:val="0"/>
                  <w:vAlign w:val="center"/>
                </w:tcPr>
                <w:p w14:paraId="2D6E200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28BE2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58" w:type="pct"/>
                  <w:vMerge w:val="continue"/>
                  <w:tcBorders>
                    <w:tl2br w:val="nil"/>
                    <w:tr2bl w:val="nil"/>
                  </w:tcBorders>
                  <w:noWrap w:val="0"/>
                  <w:vAlign w:val="center"/>
                </w:tcPr>
                <w:p w14:paraId="4B65301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09" w:type="pct"/>
                  <w:tcBorders>
                    <w:tl2br w:val="nil"/>
                    <w:tr2bl w:val="nil"/>
                  </w:tcBorders>
                  <w:noWrap w:val="0"/>
                  <w:vAlign w:val="center"/>
                </w:tcPr>
                <w:p w14:paraId="120410C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4C5FF03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环境质量底线</w:t>
                  </w:r>
                </w:p>
              </w:tc>
              <w:tc>
                <w:tcPr>
                  <w:tcW w:w="3560" w:type="pct"/>
                  <w:tcBorders>
                    <w:tl2br w:val="nil"/>
                    <w:tr2bl w:val="nil"/>
                  </w:tcBorders>
                  <w:noWrap w:val="0"/>
                  <w:vAlign w:val="center"/>
                </w:tcPr>
                <w:p w14:paraId="1F328E3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项目所在区域属于环境空气质量不达标区，超标污染物为NO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r>
                    <w:rPr>
                      <w:rFonts w:hint="default" w:ascii="Times New Roman" w:hAnsi="Times New Roman" w:eastAsia="宋体" w:cs="Times New Roman"/>
                      <w:color w:val="auto"/>
                      <w:kern w:val="0"/>
                      <w:sz w:val="21"/>
                      <w:szCs w:val="21"/>
                      <w:highlight w:val="none"/>
                    </w:rPr>
                    <w:t>。本项目废气、废水、噪声及固体废物均可做到达标排放或妥善处置，不会改变区域环境功能，不会触及环境质量底线。</w:t>
                  </w:r>
                </w:p>
              </w:tc>
              <w:tc>
                <w:tcPr>
                  <w:tcW w:w="371" w:type="pct"/>
                  <w:tcBorders>
                    <w:tl2br w:val="nil"/>
                    <w:tr2bl w:val="nil"/>
                  </w:tcBorders>
                  <w:noWrap w:val="0"/>
                  <w:vAlign w:val="center"/>
                </w:tcPr>
                <w:p w14:paraId="574E143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符合</w:t>
                  </w:r>
                </w:p>
              </w:tc>
            </w:tr>
            <w:tr w14:paraId="76DEB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58" w:type="pct"/>
                  <w:vMerge w:val="continue"/>
                  <w:tcBorders>
                    <w:tl2br w:val="nil"/>
                    <w:tr2bl w:val="nil"/>
                  </w:tcBorders>
                  <w:noWrap w:val="0"/>
                  <w:vAlign w:val="center"/>
                </w:tcPr>
                <w:p w14:paraId="166D7E2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09" w:type="pct"/>
                  <w:tcBorders>
                    <w:tl2br w:val="nil"/>
                    <w:tr2bl w:val="nil"/>
                  </w:tcBorders>
                  <w:noWrap w:val="0"/>
                  <w:vAlign w:val="center"/>
                </w:tcPr>
                <w:p w14:paraId="6B2A355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4226A13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资源利用上线</w:t>
                  </w:r>
                </w:p>
              </w:tc>
              <w:tc>
                <w:tcPr>
                  <w:tcW w:w="3560" w:type="pct"/>
                  <w:tcBorders>
                    <w:tl2br w:val="nil"/>
                    <w:tr2bl w:val="nil"/>
                  </w:tcBorders>
                  <w:noWrap w:val="0"/>
                  <w:vAlign w:val="center"/>
                </w:tcPr>
                <w:p w14:paraId="10891C9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本项目不属于高耗能和资源消耗型企业，同时通过企业内部管理、设备选型以及污染治理等方面，以“节能、降耗、减污”为目标，可以有效控制资源利用水平，不会达到资源利用上线。</w:t>
                  </w:r>
                </w:p>
              </w:tc>
              <w:tc>
                <w:tcPr>
                  <w:tcW w:w="371" w:type="pct"/>
                  <w:tcBorders>
                    <w:tl2br w:val="nil"/>
                    <w:tr2bl w:val="nil"/>
                  </w:tcBorders>
                  <w:noWrap w:val="0"/>
                  <w:vAlign w:val="center"/>
                </w:tcPr>
                <w:p w14:paraId="7190DA7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符合</w:t>
                  </w:r>
                </w:p>
              </w:tc>
            </w:tr>
            <w:tr w14:paraId="43486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58" w:type="pct"/>
                  <w:vMerge w:val="continue"/>
                  <w:tcBorders>
                    <w:tl2br w:val="nil"/>
                    <w:tr2bl w:val="nil"/>
                  </w:tcBorders>
                  <w:noWrap w:val="0"/>
                  <w:vAlign w:val="center"/>
                </w:tcPr>
                <w:p w14:paraId="30A9C1E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09" w:type="pct"/>
                  <w:tcBorders>
                    <w:tl2br w:val="nil"/>
                    <w:tr2bl w:val="nil"/>
                  </w:tcBorders>
                  <w:noWrap w:val="0"/>
                  <w:vAlign w:val="center"/>
                </w:tcPr>
                <w:p w14:paraId="2A9AF8F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p w14:paraId="352B576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rPr>
                    <w:t>环境准入负面清单</w:t>
                  </w:r>
                </w:p>
              </w:tc>
              <w:tc>
                <w:tcPr>
                  <w:tcW w:w="3560" w:type="pct"/>
                  <w:tcBorders>
                    <w:tl2br w:val="nil"/>
                    <w:tr2bl w:val="nil"/>
                  </w:tcBorders>
                  <w:noWrap w:val="0"/>
                  <w:vAlign w:val="center"/>
                </w:tcPr>
                <w:p w14:paraId="795A738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rPr>
                    <w:t>对照《市场准入负面清单》（2022年版），本项目不在清单中禁止准入类或许可准入类之列，可依法平等进入；对照《陕西省国家重点生态功能区产业准入负面清单（试行）》，本项目所在区域不在负面清单涉及区域之内，未列入环境准入负面清单。</w:t>
                  </w:r>
                </w:p>
              </w:tc>
              <w:tc>
                <w:tcPr>
                  <w:tcW w:w="371" w:type="pct"/>
                  <w:tcBorders>
                    <w:tl2br w:val="nil"/>
                    <w:tr2bl w:val="nil"/>
                  </w:tcBorders>
                  <w:noWrap w:val="0"/>
                  <w:vAlign w:val="center"/>
                </w:tcPr>
                <w:p w14:paraId="3E4A3BA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bl>
          <w:p w14:paraId="0D79E087">
            <w:pPr>
              <w:keepNext w:val="0"/>
              <w:keepLines w:val="0"/>
              <w:suppressLineNumbers w:val="0"/>
              <w:spacing w:before="0" w:beforeAutospacing="0" w:after="0" w:afterAutospacing="0" w:line="336" w:lineRule="auto"/>
              <w:ind w:left="0" w:right="0" w:firstLine="480" w:firstLineChars="200"/>
              <w:rPr>
                <w:rFonts w:hint="default" w:ascii="Times New Roman" w:hAnsi="Times New Roman" w:eastAsia="宋体" w:cs="Times New Roman"/>
                <w:color w:val="auto"/>
                <w:sz w:val="36"/>
                <w:szCs w:val="36"/>
                <w:highlight w:val="none"/>
                <w:lang w:eastAsia="zh-CN"/>
              </w:rPr>
            </w:pPr>
            <w:r>
              <w:rPr>
                <w:rFonts w:hint="default" w:ascii="Times New Roman" w:hAnsi="Times New Roman" w:eastAsia="宋体" w:cs="Times New Roman"/>
                <w:color w:val="auto"/>
                <w:kern w:val="24"/>
                <w:sz w:val="24"/>
                <w:szCs w:val="24"/>
                <w:highlight w:val="none"/>
                <w:lang w:val="en-US" w:eastAsia="zh-CN" w:bidi="ar-SA"/>
              </w:rPr>
              <w:t>一图：</w:t>
            </w:r>
          </w:p>
          <w:p w14:paraId="46965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highlight w:val="none"/>
                <w:lang w:eastAsia="zh-CN"/>
              </w:rPr>
            </w:pPr>
            <w:r>
              <w:rPr>
                <w:rFonts w:hint="default"/>
                <w:color w:val="auto"/>
                <w:highlight w:val="none"/>
              </w:rPr>
              <w:drawing>
                <wp:inline distT="0" distB="0" distL="0" distR="0">
                  <wp:extent cx="4218940" cy="2995930"/>
                  <wp:effectExtent l="0" t="0" r="10160" b="1397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
                          <a:stretch>
                            <a:fillRect/>
                          </a:stretch>
                        </pic:blipFill>
                        <pic:spPr>
                          <a:xfrm>
                            <a:off x="0" y="0"/>
                            <a:ext cx="4218940" cy="2995930"/>
                          </a:xfrm>
                          <a:prstGeom prst="rect">
                            <a:avLst/>
                          </a:prstGeom>
                        </pic:spPr>
                      </pic:pic>
                    </a:graphicData>
                  </a:graphic>
                </wp:inline>
              </w:drawing>
            </w:r>
          </w:p>
          <w:p w14:paraId="5AB56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图 1-1 本项目与环境管控单元对照分析示意图</w:t>
            </w:r>
          </w:p>
          <w:p w14:paraId="3D66F91D">
            <w:pPr>
              <w:keepNext w:val="0"/>
              <w:keepLines w:val="0"/>
              <w:suppressLineNumbers w:val="0"/>
              <w:autoSpaceDE w:val="0"/>
              <w:autoSpaceDN w:val="0"/>
              <w:adjustRightInd w:val="0"/>
              <w:snapToGrid w:val="0"/>
              <w:spacing w:before="0" w:beforeAutospacing="0" w:after="0" w:afterAutospacing="0"/>
              <w:ind w:left="0" w:right="0" w:firstLine="480" w:firstLineChars="200"/>
              <w:jc w:val="left"/>
              <w:rPr>
                <w:rFonts w:hint="default" w:ascii="Times New Roman" w:hAnsi="Times New Roman" w:eastAsia="宋体" w:cs="Times New Roman"/>
                <w:color w:val="auto"/>
                <w:kern w:val="24"/>
                <w:sz w:val="24"/>
                <w:szCs w:val="24"/>
                <w:highlight w:val="none"/>
                <w:lang w:val="en-US" w:eastAsia="zh-CN" w:bidi="ar-SA"/>
              </w:rPr>
            </w:pPr>
            <w:r>
              <w:rPr>
                <w:rFonts w:hint="default" w:ascii="Times New Roman" w:hAnsi="Times New Roman" w:eastAsia="宋体" w:cs="Times New Roman"/>
                <w:color w:val="auto"/>
                <w:kern w:val="24"/>
                <w:sz w:val="24"/>
                <w:szCs w:val="24"/>
                <w:highlight w:val="none"/>
                <w:lang w:val="en-US" w:eastAsia="zh-CN" w:bidi="ar-SA"/>
              </w:rPr>
              <w:t>一表：</w:t>
            </w:r>
          </w:p>
          <w:p w14:paraId="0CB0A8E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4"/>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本</w:t>
            </w:r>
            <w:r>
              <w:rPr>
                <w:rFonts w:hint="default" w:ascii="Times New Roman" w:hAnsi="Times New Roman" w:eastAsia="宋体" w:cs="Times New Roman"/>
                <w:b/>
                <w:bCs/>
                <w:color w:val="auto"/>
                <w:sz w:val="24"/>
                <w:szCs w:val="24"/>
                <w:highlight w:val="none"/>
              </w:rPr>
              <w:t>项目</w:t>
            </w:r>
            <w:r>
              <w:rPr>
                <w:rFonts w:hint="default" w:ascii="Times New Roman" w:hAnsi="Times New Roman" w:eastAsia="宋体" w:cs="Times New Roman"/>
                <w:b/>
                <w:bCs/>
                <w:color w:val="auto"/>
                <w:sz w:val="24"/>
                <w:szCs w:val="24"/>
                <w:highlight w:val="none"/>
                <w:lang w:val="en-US" w:eastAsia="zh-CN"/>
              </w:rPr>
              <w:t>范围涉及的</w:t>
            </w:r>
            <w:r>
              <w:rPr>
                <w:rFonts w:hint="default" w:ascii="Times New Roman" w:hAnsi="Times New Roman" w:eastAsia="宋体" w:cs="Times New Roman"/>
                <w:b/>
                <w:bCs/>
                <w:color w:val="auto"/>
                <w:sz w:val="24"/>
                <w:szCs w:val="24"/>
                <w:highlight w:val="none"/>
              </w:rPr>
              <w:t>生态环境管控</w:t>
            </w:r>
            <w:r>
              <w:rPr>
                <w:rFonts w:hint="default" w:ascii="Times New Roman" w:hAnsi="Times New Roman" w:eastAsia="宋体" w:cs="Times New Roman"/>
                <w:b/>
                <w:bCs/>
                <w:color w:val="auto"/>
                <w:sz w:val="24"/>
                <w:szCs w:val="24"/>
                <w:highlight w:val="none"/>
                <w:lang w:val="en-US" w:eastAsia="zh-CN"/>
              </w:rPr>
              <w:t>单元准入清单符合性分析表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504"/>
              <w:gridCol w:w="480"/>
              <w:gridCol w:w="528"/>
              <w:gridCol w:w="433"/>
              <w:gridCol w:w="2792"/>
              <w:gridCol w:w="1531"/>
              <w:gridCol w:w="428"/>
              <w:gridCol w:w="463"/>
            </w:tblGrid>
            <w:tr w14:paraId="17B0C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9"/>
                  <w:tcBorders>
                    <w:tl2br w:val="nil"/>
                    <w:tr2bl w:val="nil"/>
                  </w:tcBorders>
                  <w:noWrap w:val="0"/>
                  <w:vAlign w:val="center"/>
                </w:tcPr>
                <w:p w14:paraId="73C4906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环境管控单元管控要求</w:t>
                  </w:r>
                </w:p>
              </w:tc>
            </w:tr>
            <w:tr w14:paraId="5B130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8" w:type="pct"/>
                  <w:tcBorders>
                    <w:tl2br w:val="nil"/>
                    <w:tr2bl w:val="nil"/>
                  </w:tcBorders>
                  <w:noWrap w:val="0"/>
                  <w:vAlign w:val="center"/>
                </w:tcPr>
                <w:p w14:paraId="2855A30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市</w:t>
                  </w:r>
                </w:p>
              </w:tc>
              <w:tc>
                <w:tcPr>
                  <w:tcW w:w="328" w:type="pct"/>
                  <w:tcBorders>
                    <w:tl2br w:val="nil"/>
                    <w:tr2bl w:val="nil"/>
                  </w:tcBorders>
                  <w:noWrap w:val="0"/>
                  <w:vAlign w:val="center"/>
                </w:tcPr>
                <w:p w14:paraId="034EFDB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区县</w:t>
                  </w:r>
                </w:p>
              </w:tc>
              <w:tc>
                <w:tcPr>
                  <w:tcW w:w="314" w:type="pct"/>
                  <w:tcBorders>
                    <w:tl2br w:val="nil"/>
                    <w:tr2bl w:val="nil"/>
                  </w:tcBorders>
                  <w:noWrap w:val="0"/>
                  <w:vAlign w:val="center"/>
                </w:tcPr>
                <w:p w14:paraId="701EBB1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rPr>
                    <w:t>环境管控</w:t>
                  </w:r>
                  <w:r>
                    <w:rPr>
                      <w:rFonts w:hint="default" w:ascii="Times New Roman" w:hAnsi="Times New Roman" w:eastAsia="宋体" w:cs="Times New Roman"/>
                      <w:b/>
                      <w:bCs/>
                      <w:color w:val="auto"/>
                      <w:sz w:val="21"/>
                      <w:szCs w:val="21"/>
                      <w:highlight w:val="none"/>
                      <w:lang w:val="en-US" w:eastAsia="zh-CN"/>
                    </w:rPr>
                    <w:t>单元名称</w:t>
                  </w:r>
                </w:p>
              </w:tc>
              <w:tc>
                <w:tcPr>
                  <w:tcW w:w="345" w:type="pct"/>
                  <w:tcBorders>
                    <w:tl2br w:val="nil"/>
                    <w:tr2bl w:val="nil"/>
                  </w:tcBorders>
                  <w:noWrap w:val="0"/>
                  <w:vAlign w:val="center"/>
                </w:tcPr>
                <w:p w14:paraId="5FBA833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单元要素属性</w:t>
                  </w:r>
                </w:p>
              </w:tc>
              <w:tc>
                <w:tcPr>
                  <w:tcW w:w="2105" w:type="pct"/>
                  <w:gridSpan w:val="2"/>
                  <w:tcBorders>
                    <w:tl2br w:val="nil"/>
                    <w:tr2bl w:val="nil"/>
                  </w:tcBorders>
                  <w:noWrap w:val="0"/>
                  <w:vAlign w:val="center"/>
                </w:tcPr>
                <w:p w14:paraId="6332259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管控要求</w:t>
                  </w:r>
                </w:p>
              </w:tc>
              <w:tc>
                <w:tcPr>
                  <w:tcW w:w="999" w:type="pct"/>
                  <w:tcBorders>
                    <w:tl2br w:val="nil"/>
                    <w:tr2bl w:val="nil"/>
                  </w:tcBorders>
                  <w:noWrap w:val="0"/>
                  <w:vAlign w:val="center"/>
                </w:tcPr>
                <w:p w14:paraId="4297600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项目情况</w:t>
                  </w:r>
                </w:p>
              </w:tc>
              <w:tc>
                <w:tcPr>
                  <w:tcW w:w="279" w:type="pct"/>
                  <w:tcBorders>
                    <w:tl2br w:val="nil"/>
                    <w:tr2bl w:val="nil"/>
                  </w:tcBorders>
                  <w:noWrap w:val="0"/>
                  <w:vAlign w:val="center"/>
                </w:tcPr>
                <w:p w14:paraId="4663070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面积</w:t>
                  </w:r>
                </w:p>
              </w:tc>
              <w:tc>
                <w:tcPr>
                  <w:tcW w:w="298" w:type="pct"/>
                  <w:tcBorders>
                    <w:tl2br w:val="nil"/>
                    <w:tr2bl w:val="nil"/>
                  </w:tcBorders>
                  <w:noWrap w:val="0"/>
                  <w:vAlign w:val="center"/>
                </w:tcPr>
                <w:p w14:paraId="72F5C3C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结论</w:t>
                  </w:r>
                </w:p>
              </w:tc>
            </w:tr>
            <w:tr w14:paraId="22B96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8" w:type="pct"/>
                  <w:vMerge w:val="restart"/>
                  <w:tcBorders>
                    <w:tl2br w:val="nil"/>
                    <w:tr2bl w:val="nil"/>
                  </w:tcBorders>
                  <w:noWrap w:val="0"/>
                  <w:vAlign w:val="center"/>
                </w:tcPr>
                <w:p w14:paraId="003562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西安市</w:t>
                  </w:r>
                </w:p>
              </w:tc>
              <w:tc>
                <w:tcPr>
                  <w:tcW w:w="328" w:type="pct"/>
                  <w:vMerge w:val="restart"/>
                  <w:tcBorders>
                    <w:tl2br w:val="nil"/>
                    <w:tr2bl w:val="nil"/>
                  </w:tcBorders>
                  <w:noWrap w:val="0"/>
                  <w:vAlign w:val="center"/>
                </w:tcPr>
                <w:p w14:paraId="766CB7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长安区</w:t>
                  </w:r>
                </w:p>
              </w:tc>
              <w:tc>
                <w:tcPr>
                  <w:tcW w:w="314" w:type="pct"/>
                  <w:vMerge w:val="restart"/>
                  <w:tcBorders>
                    <w:tl2br w:val="nil"/>
                    <w:tr2bl w:val="nil"/>
                  </w:tcBorders>
                  <w:noWrap w:val="0"/>
                  <w:vAlign w:val="center"/>
                </w:tcPr>
                <w:p w14:paraId="259451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长安区重点管控单元5</w:t>
                  </w:r>
                </w:p>
              </w:tc>
              <w:tc>
                <w:tcPr>
                  <w:tcW w:w="345" w:type="pct"/>
                  <w:vMerge w:val="restart"/>
                  <w:tcBorders>
                    <w:tl2br w:val="nil"/>
                    <w:tr2bl w:val="nil"/>
                  </w:tcBorders>
                  <w:noWrap w:val="0"/>
                  <w:vAlign w:val="center"/>
                </w:tcPr>
                <w:p w14:paraId="7E0128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水大气环境受体敏感</w:t>
                  </w:r>
                </w:p>
                <w:p w14:paraId="78B840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重点</w:t>
                  </w:r>
                </w:p>
                <w:p w14:paraId="54EF0A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管控</w:t>
                  </w:r>
                </w:p>
                <w:p w14:paraId="73AA1D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区水</w:t>
                  </w:r>
                </w:p>
                <w:p w14:paraId="7172CC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w:t>
                  </w:r>
                </w:p>
                <w:p w14:paraId="2E44DF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城镇</w:t>
                  </w:r>
                </w:p>
                <w:p w14:paraId="170050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w:t>
                  </w:r>
                </w:p>
                <w:p w14:paraId="688C3F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w:t>
                  </w:r>
                </w:p>
                <w:p w14:paraId="16E790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重点</w:t>
                  </w:r>
                </w:p>
                <w:p w14:paraId="5A79E0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管控</w:t>
                  </w:r>
                </w:p>
                <w:p w14:paraId="2FFF27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区</w:t>
                  </w:r>
                </w:p>
              </w:tc>
              <w:tc>
                <w:tcPr>
                  <w:tcW w:w="283" w:type="pct"/>
                  <w:tcBorders>
                    <w:tl2br w:val="nil"/>
                    <w:tr2bl w:val="nil"/>
                  </w:tcBorders>
                  <w:noWrap w:val="0"/>
                  <w:vAlign w:val="center"/>
                </w:tcPr>
                <w:p w14:paraId="550AAF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空间</w:t>
                  </w:r>
                </w:p>
                <w:p w14:paraId="4DA322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布局约束</w:t>
                  </w:r>
                </w:p>
              </w:tc>
              <w:tc>
                <w:tcPr>
                  <w:tcW w:w="1822" w:type="pct"/>
                  <w:tcBorders>
                    <w:tl2br w:val="nil"/>
                    <w:tr2bl w:val="nil"/>
                  </w:tcBorders>
                  <w:noWrap w:val="0"/>
                  <w:vAlign w:val="center"/>
                </w:tcPr>
                <w:p w14:paraId="452D130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大气环境受体敏感重点管控区：</w:t>
                  </w:r>
                </w:p>
                <w:p w14:paraId="3CC623E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1.大气污染防治重点区域严禁新增钢铁、水泥熟料、平板玻璃、炼化产能。</w:t>
                  </w:r>
                </w:p>
                <w:p w14:paraId="26CF793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2.推动重污染企业搬迁入园或依法关闭。</w:t>
                  </w:r>
                </w:p>
                <w:p w14:paraId="06FA39C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3.禁止新建非清洁能源供热企业，集中供热面积逐步提高，提高清洁能源供热和远距离输送供热比重。</w:t>
                  </w:r>
                </w:p>
                <w:p w14:paraId="36ED342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水环境城镇生活污染重点管控区：</w:t>
                  </w:r>
                </w:p>
                <w:p w14:paraId="4C936AD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统筹做好城市、县城及农村污水处理设施建设，继续提升污水处理能力，完善城镇污水处理厂和农村污水处理设施运营管理机制。到2025年，城市污水集中处理率稳步提升，县城污水集中处理率达到95%。加强雨污管网管理与建设。</w:t>
                  </w:r>
                </w:p>
                <w:p w14:paraId="59A192F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2.持续巩固城市建成区</w:t>
                  </w:r>
                </w:p>
                <w:p w14:paraId="06F485E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黑臭水体整治成果，建立完善黑臭水体污染防治长效机制，定期开展巡查、监测、评估等工作，有效防止水质反弹。</w:t>
                  </w:r>
                </w:p>
                <w:p w14:paraId="7E21741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3.严格控制新建、扩建化学制浆造纸、化工、印染、果汁和淀粉加工等高耗水、高污染项目。水污染排放企业严格执行排污许可制度，实施“持证排水”。</w:t>
                  </w:r>
                </w:p>
                <w:p w14:paraId="56A915E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全面推进工业园区污水管网排查整治和污水收集处理设施建设，推进化工园区雨污分流改造和初期雨水收集处理。实施重点行业企业达标排放限期改造，大力推进化学需氧量、氨氮、总磷重点行业污染减排。水环境超载汇水范围内的新建、改建、扩建工业项目，实行主要污染物排放等量或减量置换。</w:t>
                  </w:r>
                </w:p>
              </w:tc>
              <w:tc>
                <w:tcPr>
                  <w:tcW w:w="999" w:type="pct"/>
                  <w:tcBorders>
                    <w:tl2br w:val="nil"/>
                    <w:tr2bl w:val="nil"/>
                  </w:tcBorders>
                  <w:noWrap w:val="0"/>
                  <w:vAlign w:val="center"/>
                </w:tcPr>
                <w:p w14:paraId="3F9218F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0"/>
                      <w:sz w:val="21"/>
                      <w:szCs w:val="21"/>
                      <w:highlight w:val="none"/>
                      <w:lang w:val="en-US" w:eastAsia="zh-CN"/>
                    </w:rPr>
                    <w:t>本项目</w:t>
                  </w:r>
                  <w:r>
                    <w:rPr>
                      <w:rFonts w:hint="eastAsia" w:cs="Times New Roman"/>
                      <w:color w:val="auto"/>
                      <w:kern w:val="0"/>
                      <w:sz w:val="21"/>
                      <w:szCs w:val="21"/>
                      <w:highlight w:val="none"/>
                      <w:lang w:val="en-US" w:eastAsia="zh-CN"/>
                    </w:rPr>
                    <w:t>生活污水及生产废水近期经厂区化粪池收集后，排入厂区的污水收集池，定期由槽车拉运至沣西新城大王污水处理厂处理；远期</w:t>
                  </w:r>
                  <w:r>
                    <w:rPr>
                      <w:rFonts w:hint="default" w:ascii="Times New Roman" w:hAnsi="Times New Roman" w:cs="Times New Roman"/>
                      <w:color w:val="auto"/>
                      <w:kern w:val="0"/>
                      <w:sz w:val="21"/>
                      <w:szCs w:val="21"/>
                      <w:highlight w:val="none"/>
                      <w:lang w:val="en-US" w:eastAsia="zh-CN"/>
                    </w:rPr>
                    <w:t>生活污水经化粪池收集后经市政管网排入</w:t>
                  </w:r>
                  <w:r>
                    <w:rPr>
                      <w:rFonts w:hint="eastAsia" w:cs="Times New Roman"/>
                      <w:color w:val="auto"/>
                      <w:kern w:val="0"/>
                      <w:sz w:val="21"/>
                      <w:szCs w:val="21"/>
                      <w:highlight w:val="none"/>
                      <w:lang w:val="en-US" w:eastAsia="zh-CN"/>
                    </w:rPr>
                    <w:t>沣西新城大王污水处理厂</w:t>
                  </w:r>
                  <w:r>
                    <w:rPr>
                      <w:rFonts w:hint="default" w:ascii="Times New Roman" w:hAnsi="Times New Roman" w:cs="Times New Roman"/>
                      <w:color w:val="auto"/>
                      <w:kern w:val="0"/>
                      <w:sz w:val="21"/>
                      <w:szCs w:val="21"/>
                      <w:highlight w:val="none"/>
                      <w:lang w:val="en-US" w:eastAsia="zh-CN"/>
                    </w:rPr>
                    <w:t>深度处理；设备冷却废水循环利用，定期更换的冷却废水经化粪池收集后由市政管网排入</w:t>
                  </w:r>
                  <w:r>
                    <w:rPr>
                      <w:rFonts w:hint="eastAsia" w:cs="Times New Roman"/>
                      <w:color w:val="auto"/>
                      <w:kern w:val="0"/>
                      <w:sz w:val="21"/>
                      <w:szCs w:val="21"/>
                      <w:highlight w:val="none"/>
                      <w:lang w:val="en-US" w:eastAsia="zh-CN"/>
                    </w:rPr>
                    <w:t>沣西新城大王污水处理厂</w:t>
                  </w:r>
                  <w:r>
                    <w:rPr>
                      <w:rFonts w:hint="default" w:ascii="Times New Roman" w:hAnsi="Times New Roman" w:cs="Times New Roman"/>
                      <w:color w:val="auto"/>
                      <w:kern w:val="0"/>
                      <w:sz w:val="21"/>
                      <w:szCs w:val="21"/>
                      <w:highlight w:val="none"/>
                      <w:lang w:val="en-US" w:eastAsia="zh-CN"/>
                    </w:rPr>
                    <w:t>深度处理</w:t>
                  </w:r>
                  <w:r>
                    <w:rPr>
                      <w:rFonts w:hint="default" w:ascii="Times New Roman" w:hAnsi="Times New Roman" w:cs="Times New Roman"/>
                      <w:color w:val="auto"/>
                      <w:kern w:val="0"/>
                      <w:sz w:val="21"/>
                      <w:szCs w:val="21"/>
                      <w:highlight w:val="none"/>
                      <w:lang w:val="en-US" w:eastAsia="zh-CN"/>
                    </w:rPr>
                    <w:t>；切割废水进入设备自带循环水箱经沉淀后再次循环利用，不外排</w:t>
                  </w:r>
                  <w:r>
                    <w:rPr>
                      <w:rFonts w:hint="default" w:ascii="Times New Roman" w:hAnsi="Times New Roman" w:eastAsia="宋体" w:cs="Times New Roman"/>
                      <w:color w:val="auto"/>
                      <w:highlight w:val="none"/>
                      <w:lang w:eastAsia="zh-CN"/>
                    </w:rPr>
                    <w:t>。</w:t>
                  </w:r>
                </w:p>
              </w:tc>
              <w:tc>
                <w:tcPr>
                  <w:tcW w:w="279" w:type="pct"/>
                  <w:vMerge w:val="restart"/>
                  <w:tcBorders>
                    <w:tl2br w:val="nil"/>
                    <w:tr2bl w:val="nil"/>
                  </w:tcBorders>
                  <w:noWrap w:val="0"/>
                  <w:vAlign w:val="center"/>
                </w:tcPr>
                <w:p w14:paraId="6ACD0EC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36653.04m</w:t>
                  </w:r>
                  <w:r>
                    <w:rPr>
                      <w:rFonts w:hint="default" w:ascii="Times New Roman" w:hAnsi="Times New Roman" w:eastAsia="宋体" w:cs="Times New Roman"/>
                      <w:color w:val="auto"/>
                      <w:sz w:val="21"/>
                      <w:szCs w:val="21"/>
                      <w:highlight w:val="none"/>
                      <w:vertAlign w:val="superscript"/>
                      <w:lang w:val="en-US" w:eastAsia="zh-CN"/>
                    </w:rPr>
                    <w:t>2</w:t>
                  </w:r>
                </w:p>
              </w:tc>
              <w:tc>
                <w:tcPr>
                  <w:tcW w:w="298" w:type="pct"/>
                  <w:tcBorders>
                    <w:tl2br w:val="nil"/>
                    <w:tr2bl w:val="nil"/>
                  </w:tcBorders>
                  <w:noWrap w:val="0"/>
                  <w:vAlign w:val="center"/>
                </w:tcPr>
                <w:p w14:paraId="4095FAD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27569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8" w:type="pct"/>
                  <w:vMerge w:val="continue"/>
                  <w:tcBorders>
                    <w:tl2br w:val="nil"/>
                    <w:tr2bl w:val="nil"/>
                  </w:tcBorders>
                  <w:noWrap w:val="0"/>
                  <w:vAlign w:val="center"/>
                </w:tcPr>
                <w:p w14:paraId="6BAA0E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328" w:type="pct"/>
                  <w:vMerge w:val="continue"/>
                  <w:tcBorders>
                    <w:tl2br w:val="nil"/>
                    <w:tr2bl w:val="nil"/>
                  </w:tcBorders>
                  <w:noWrap w:val="0"/>
                  <w:vAlign w:val="center"/>
                </w:tcPr>
                <w:p w14:paraId="214F3F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314" w:type="pct"/>
                  <w:vMerge w:val="continue"/>
                  <w:tcBorders>
                    <w:tl2br w:val="nil"/>
                    <w:tr2bl w:val="nil"/>
                  </w:tcBorders>
                  <w:noWrap w:val="0"/>
                  <w:vAlign w:val="center"/>
                </w:tcPr>
                <w:p w14:paraId="641AC4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345" w:type="pct"/>
                  <w:vMerge w:val="continue"/>
                  <w:tcBorders>
                    <w:tl2br w:val="nil"/>
                    <w:tr2bl w:val="nil"/>
                  </w:tcBorders>
                  <w:noWrap w:val="0"/>
                  <w:vAlign w:val="center"/>
                </w:tcPr>
                <w:p w14:paraId="2D48AD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3" w:type="pct"/>
                  <w:tcBorders>
                    <w:tl2br w:val="nil"/>
                    <w:tr2bl w:val="nil"/>
                  </w:tcBorders>
                  <w:noWrap w:val="0"/>
                  <w:vAlign w:val="center"/>
                </w:tcPr>
                <w:p w14:paraId="1D477B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w:t>
                  </w:r>
                </w:p>
                <w:p w14:paraId="3482C2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物排</w:t>
                  </w:r>
                </w:p>
                <w:p w14:paraId="5014DE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放管</w:t>
                  </w:r>
                </w:p>
                <w:p w14:paraId="4B056D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控</w:t>
                  </w:r>
                </w:p>
              </w:tc>
              <w:tc>
                <w:tcPr>
                  <w:tcW w:w="1822" w:type="pct"/>
                  <w:tcBorders>
                    <w:tl2br w:val="nil"/>
                    <w:tr2bl w:val="nil"/>
                  </w:tcBorders>
                  <w:noWrap w:val="0"/>
                  <w:vAlign w:val="center"/>
                </w:tcPr>
                <w:p w14:paraId="60D6048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大气环境受体敏感重点管控区：</w:t>
                  </w:r>
                </w:p>
                <w:p w14:paraId="7F34A41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1.区域内保留企业采用先进生产工艺、严格落实污染治理设施，污染物执行超低排放或特别排放限值。</w:t>
                  </w:r>
                </w:p>
                <w:p w14:paraId="6F9DD03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2.鼓励将老旧车辆和非道路移动机械替换为清洁能源车辆；推进新能源或清洁能源汽车使用。</w:t>
                  </w:r>
                </w:p>
                <w:p w14:paraId="1DDE93F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3.加大餐饮油烟治理力度，排放油烟的饮食业单位全部安装油烟净化装置并实现达标排放。</w:t>
                  </w:r>
                </w:p>
                <w:p w14:paraId="229E8F4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4.积极推进地热供暖技术。</w:t>
                  </w:r>
                </w:p>
                <w:p w14:paraId="26D6357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水环境城镇生活污染重点管控区：</w:t>
                  </w:r>
                </w:p>
                <w:p w14:paraId="27654FB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到2025年，基本消除城市建成区生活污水直排口和收集处理设施空白区，城市和县城污水处理能力基本满足经济社会发展需要，县城污水处理率达到95%以上。保证城镇污水处理厂出水水质稳定达到《陕西省黄河流域污水综合排放标准》（DB61/224-2018）要求。完善城镇配套管网建设，实施雨污分流改造。</w:t>
                  </w:r>
                </w:p>
              </w:tc>
              <w:tc>
                <w:tcPr>
                  <w:tcW w:w="999" w:type="pct"/>
                  <w:tcBorders>
                    <w:tl2br w:val="nil"/>
                    <w:tr2bl w:val="nil"/>
                  </w:tcBorders>
                  <w:noWrap w:val="0"/>
                  <w:vAlign w:val="center"/>
                </w:tcPr>
                <w:p w14:paraId="0B78B92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项目运营过程中产生少量的焊接烟尘经设备自带的焊烟净化器处理后无组织排放。实验室废气经通风橱引至楼顶专用风道排放。</w:t>
                  </w:r>
                </w:p>
                <w:p w14:paraId="78DEB0A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0"/>
                      <w:sz w:val="21"/>
                      <w:szCs w:val="21"/>
                      <w:highlight w:val="none"/>
                      <w:lang w:val="en-US" w:eastAsia="zh-CN"/>
                    </w:rPr>
                    <w:t>本项目</w:t>
                  </w:r>
                  <w:r>
                    <w:rPr>
                      <w:rFonts w:hint="eastAsia" w:cs="Times New Roman"/>
                      <w:color w:val="auto"/>
                      <w:kern w:val="0"/>
                      <w:sz w:val="21"/>
                      <w:szCs w:val="21"/>
                      <w:highlight w:val="none"/>
                      <w:lang w:val="en-US" w:eastAsia="zh-CN"/>
                    </w:rPr>
                    <w:t>生活污水及生产废水近期经厂区化粪池收集后，排入厂区的污水收集池，定期由槽车拉运至沣西新城大王污水处理厂处理；远期</w:t>
                  </w:r>
                  <w:r>
                    <w:rPr>
                      <w:rFonts w:hint="default" w:ascii="Times New Roman" w:hAnsi="Times New Roman" w:cs="Times New Roman"/>
                      <w:color w:val="auto"/>
                      <w:kern w:val="0"/>
                      <w:sz w:val="21"/>
                      <w:szCs w:val="21"/>
                      <w:highlight w:val="none"/>
                      <w:lang w:val="en-US" w:eastAsia="zh-CN"/>
                    </w:rPr>
                    <w:t>生活污水经化粪池收集后经市政管网排入</w:t>
                  </w:r>
                  <w:r>
                    <w:rPr>
                      <w:rFonts w:hint="eastAsia" w:cs="Times New Roman"/>
                      <w:color w:val="auto"/>
                      <w:kern w:val="0"/>
                      <w:sz w:val="21"/>
                      <w:szCs w:val="21"/>
                      <w:highlight w:val="none"/>
                      <w:lang w:val="en-US" w:eastAsia="zh-CN"/>
                    </w:rPr>
                    <w:t>沣西新城大王污水处理厂</w:t>
                  </w:r>
                  <w:r>
                    <w:rPr>
                      <w:rFonts w:hint="default" w:ascii="Times New Roman" w:hAnsi="Times New Roman" w:cs="Times New Roman"/>
                      <w:color w:val="auto"/>
                      <w:kern w:val="0"/>
                      <w:sz w:val="21"/>
                      <w:szCs w:val="21"/>
                      <w:highlight w:val="none"/>
                      <w:lang w:val="en-US" w:eastAsia="zh-CN"/>
                    </w:rPr>
                    <w:t>深度处理；设备冷却废水循环利用，定期更换的冷却废水经化粪池收集后由市政管网排入</w:t>
                  </w:r>
                  <w:r>
                    <w:rPr>
                      <w:rFonts w:hint="eastAsia" w:cs="Times New Roman"/>
                      <w:color w:val="auto"/>
                      <w:kern w:val="0"/>
                      <w:sz w:val="21"/>
                      <w:szCs w:val="21"/>
                      <w:highlight w:val="none"/>
                      <w:lang w:val="en-US" w:eastAsia="zh-CN"/>
                    </w:rPr>
                    <w:t>沣西新城大王污水处理厂</w:t>
                  </w:r>
                  <w:r>
                    <w:rPr>
                      <w:rFonts w:hint="default" w:ascii="Times New Roman" w:hAnsi="Times New Roman" w:cs="Times New Roman"/>
                      <w:color w:val="auto"/>
                      <w:kern w:val="0"/>
                      <w:sz w:val="21"/>
                      <w:szCs w:val="21"/>
                      <w:highlight w:val="none"/>
                      <w:lang w:val="en-US" w:eastAsia="zh-CN"/>
                    </w:rPr>
                    <w:t>深度处理</w:t>
                  </w:r>
                  <w:r>
                    <w:rPr>
                      <w:rFonts w:hint="default" w:ascii="Times New Roman" w:hAnsi="Times New Roman" w:cs="Times New Roman"/>
                      <w:color w:val="auto"/>
                      <w:kern w:val="0"/>
                      <w:sz w:val="21"/>
                      <w:szCs w:val="21"/>
                      <w:highlight w:val="none"/>
                      <w:lang w:val="en-US" w:eastAsia="zh-CN"/>
                    </w:rPr>
                    <w:t>；切割废水进入设备自带循环水箱经沉淀后再次循环利用，不外排</w:t>
                  </w:r>
                  <w:r>
                    <w:rPr>
                      <w:rFonts w:hint="default" w:ascii="Times New Roman" w:hAnsi="Times New Roman" w:eastAsia="宋体" w:cs="Times New Roman"/>
                      <w:color w:val="auto"/>
                      <w:highlight w:val="none"/>
                      <w:lang w:eastAsia="zh-CN"/>
                    </w:rPr>
                    <w:t>。</w:t>
                  </w:r>
                </w:p>
              </w:tc>
              <w:tc>
                <w:tcPr>
                  <w:tcW w:w="279" w:type="pct"/>
                  <w:vMerge w:val="continue"/>
                  <w:tcBorders>
                    <w:tl2br w:val="nil"/>
                    <w:tr2bl w:val="nil"/>
                  </w:tcBorders>
                  <w:noWrap w:val="0"/>
                  <w:vAlign w:val="center"/>
                </w:tcPr>
                <w:p w14:paraId="4C0CD24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98" w:type="pct"/>
                  <w:tcBorders>
                    <w:tl2br w:val="nil"/>
                    <w:tr2bl w:val="nil"/>
                  </w:tcBorders>
                  <w:noWrap w:val="0"/>
                  <w:vAlign w:val="center"/>
                </w:tcPr>
                <w:p w14:paraId="0E27C36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6BB67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8" w:type="pct"/>
                  <w:tcBorders>
                    <w:tl2br w:val="nil"/>
                    <w:tr2bl w:val="nil"/>
                  </w:tcBorders>
                  <w:noWrap w:val="0"/>
                  <w:textDirection w:val="tbRlV"/>
                  <w:vAlign w:val="center"/>
                </w:tcPr>
                <w:p w14:paraId="3EF97C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西安市</w:t>
                  </w:r>
                </w:p>
              </w:tc>
              <w:tc>
                <w:tcPr>
                  <w:tcW w:w="328" w:type="pct"/>
                  <w:tcBorders>
                    <w:tl2br w:val="nil"/>
                    <w:tr2bl w:val="nil"/>
                  </w:tcBorders>
                  <w:noWrap w:val="0"/>
                  <w:textDirection w:val="tbRlV"/>
                  <w:vAlign w:val="center"/>
                </w:tcPr>
                <w:p w14:paraId="15C83C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鄠邑区</w:t>
                  </w:r>
                </w:p>
              </w:tc>
              <w:tc>
                <w:tcPr>
                  <w:tcW w:w="314" w:type="pct"/>
                  <w:tcBorders>
                    <w:tl2br w:val="nil"/>
                    <w:tr2bl w:val="nil"/>
                  </w:tcBorders>
                  <w:noWrap w:val="0"/>
                  <w:vAlign w:val="center"/>
                </w:tcPr>
                <w:p w14:paraId="1A40215B">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鄠邑区重点管控单元2</w:t>
                  </w:r>
                </w:p>
              </w:tc>
              <w:tc>
                <w:tcPr>
                  <w:tcW w:w="345" w:type="pct"/>
                  <w:tcBorders>
                    <w:tl2br w:val="nil"/>
                    <w:tr2bl w:val="nil"/>
                  </w:tcBorders>
                  <w:noWrap w:val="0"/>
                  <w:vAlign w:val="center"/>
                </w:tcPr>
                <w:p w14:paraId="43995F91">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highlight w:val="none"/>
                    </w:rPr>
                  </w:pPr>
                </w:p>
                <w:p w14:paraId="27424F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w:t>
                  </w:r>
                </w:p>
                <w:p w14:paraId="61E7EF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p w14:paraId="7EB348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布局</w:t>
                  </w:r>
                </w:p>
                <w:p w14:paraId="49E256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敏感</w:t>
                  </w:r>
                </w:p>
                <w:p w14:paraId="4D0BA3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重点</w:t>
                  </w:r>
                </w:p>
                <w:p w14:paraId="5FA892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管控</w:t>
                  </w:r>
                </w:p>
                <w:p w14:paraId="4EBF89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区</w:t>
                  </w:r>
                </w:p>
              </w:tc>
              <w:tc>
                <w:tcPr>
                  <w:tcW w:w="283" w:type="pct"/>
                  <w:tcBorders>
                    <w:tl2br w:val="nil"/>
                    <w:tr2bl w:val="nil"/>
                  </w:tcBorders>
                  <w:noWrap w:val="0"/>
                  <w:vAlign w:val="center"/>
                </w:tcPr>
                <w:p w14:paraId="5CEF9A89">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highlight w:val="none"/>
                    </w:rPr>
                  </w:pPr>
                </w:p>
                <w:p w14:paraId="779087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空间</w:t>
                  </w:r>
                </w:p>
                <w:p w14:paraId="0AEE75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布局约束</w:t>
                  </w:r>
                </w:p>
              </w:tc>
              <w:tc>
                <w:tcPr>
                  <w:tcW w:w="1822" w:type="pct"/>
                  <w:tcBorders>
                    <w:tl2br w:val="nil"/>
                    <w:tr2bl w:val="nil"/>
                  </w:tcBorders>
                  <w:noWrap w:val="0"/>
                  <w:vAlign w:val="center"/>
                </w:tcPr>
                <w:p w14:paraId="554D71A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大气环境布局敏感重点</w:t>
                  </w:r>
                </w:p>
                <w:p w14:paraId="5B845E3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管控区：1．大气污染防治重点区域严禁新增钢铁、水泥熟料、平板玻璃、炼化产能；2．推动重污染企业搬迁入园或依法关闭。</w:t>
                  </w:r>
                </w:p>
              </w:tc>
              <w:tc>
                <w:tcPr>
                  <w:tcW w:w="999" w:type="pct"/>
                  <w:tcBorders>
                    <w:tl2br w:val="nil"/>
                    <w:tr2bl w:val="nil"/>
                  </w:tcBorders>
                  <w:noWrap w:val="0"/>
                  <w:vAlign w:val="center"/>
                </w:tcPr>
                <w:p w14:paraId="14C7F5D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rPr>
                  </w:pPr>
                </w:p>
                <w:p w14:paraId="3B31CFB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本项目不属于钢铁、水泥熟料、平板玻璃、炼化行业。</w:t>
                  </w:r>
                </w:p>
              </w:tc>
              <w:tc>
                <w:tcPr>
                  <w:tcW w:w="279" w:type="pct"/>
                  <w:vMerge w:val="continue"/>
                  <w:tcBorders>
                    <w:tl2br w:val="nil"/>
                    <w:tr2bl w:val="nil"/>
                  </w:tcBorders>
                  <w:noWrap w:val="0"/>
                  <w:textDirection w:val="tbRlV"/>
                  <w:vAlign w:val="center"/>
                </w:tcPr>
                <w:p w14:paraId="66F0B98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98" w:type="pct"/>
                  <w:tcBorders>
                    <w:tl2br w:val="nil"/>
                    <w:tr2bl w:val="nil"/>
                  </w:tcBorders>
                  <w:noWrap w:val="0"/>
                  <w:vAlign w:val="center"/>
                </w:tcPr>
                <w:p w14:paraId="3B735EF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bl>
          <w:p w14:paraId="530C2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说明：</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62"/>
              <w:gridCol w:w="1652"/>
              <w:gridCol w:w="1946"/>
            </w:tblGrid>
            <w:tr w14:paraId="70BCA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1" w:type="pct"/>
                  <w:tcBorders>
                    <w:tl2br w:val="nil"/>
                    <w:tr2bl w:val="nil"/>
                  </w:tcBorders>
                  <w:vAlign w:val="center"/>
                </w:tcPr>
                <w:p w14:paraId="29E9A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对照分析</w:t>
                  </w:r>
                </w:p>
              </w:tc>
              <w:tc>
                <w:tcPr>
                  <w:tcW w:w="1078" w:type="pct"/>
                  <w:tcBorders>
                    <w:tl2br w:val="nil"/>
                    <w:tr2bl w:val="nil"/>
                  </w:tcBorders>
                  <w:vAlign w:val="center"/>
                </w:tcPr>
                <w:p w14:paraId="797F64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本项目情况</w:t>
                  </w:r>
                </w:p>
              </w:tc>
              <w:tc>
                <w:tcPr>
                  <w:tcW w:w="1270" w:type="pct"/>
                  <w:tcBorders>
                    <w:tl2br w:val="nil"/>
                    <w:tr2bl w:val="nil"/>
                  </w:tcBorders>
                  <w:vAlign w:val="center"/>
                </w:tcPr>
                <w:p w14:paraId="2DF88C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符合性</w:t>
                  </w:r>
                </w:p>
              </w:tc>
            </w:tr>
            <w:tr w14:paraId="1CB06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1" w:type="pct"/>
                  <w:tcBorders>
                    <w:tl2br w:val="nil"/>
                    <w:tr2bl w:val="nil"/>
                  </w:tcBorders>
                  <w:vAlign w:val="center"/>
                </w:tcPr>
                <w:p w14:paraId="73D7D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各类生态环境敏感区对照分析</w:t>
                  </w:r>
                </w:p>
              </w:tc>
              <w:tc>
                <w:tcPr>
                  <w:tcW w:w="1078" w:type="pct"/>
                  <w:tcBorders>
                    <w:tl2br w:val="nil"/>
                    <w:tr2bl w:val="nil"/>
                  </w:tcBorders>
                  <w:vAlign w:val="center"/>
                </w:tcPr>
                <w:p w14:paraId="1026E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根据</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一图</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可知，本项目不涉及生态环境敏感区。</w:t>
                  </w:r>
                </w:p>
              </w:tc>
              <w:tc>
                <w:tcPr>
                  <w:tcW w:w="1270" w:type="pct"/>
                  <w:tcBorders>
                    <w:tl2br w:val="nil"/>
                    <w:tr2bl w:val="nil"/>
                  </w:tcBorders>
                  <w:vAlign w:val="center"/>
                </w:tcPr>
                <w:p w14:paraId="65C09E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不涉及生态环境敏感区。</w:t>
                  </w:r>
                </w:p>
              </w:tc>
            </w:tr>
            <w:tr w14:paraId="48033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1" w:type="pct"/>
                  <w:tcBorders>
                    <w:tl2br w:val="nil"/>
                    <w:tr2bl w:val="nil"/>
                  </w:tcBorders>
                  <w:vAlign w:val="center"/>
                </w:tcPr>
                <w:p w14:paraId="316A0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未纳入环境管控单元的要素分区对照分析</w:t>
                  </w:r>
                </w:p>
              </w:tc>
              <w:tc>
                <w:tcPr>
                  <w:tcW w:w="1078" w:type="pct"/>
                  <w:tcBorders>
                    <w:tl2br w:val="nil"/>
                    <w:tr2bl w:val="nil"/>
                  </w:tcBorders>
                  <w:vAlign w:val="center"/>
                </w:tcPr>
                <w:p w14:paraId="395E85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不涉及</w:t>
                  </w:r>
                </w:p>
              </w:tc>
              <w:tc>
                <w:tcPr>
                  <w:tcW w:w="1270" w:type="pct"/>
                  <w:tcBorders>
                    <w:tl2br w:val="nil"/>
                    <w:tr2bl w:val="nil"/>
                  </w:tcBorders>
                  <w:vAlign w:val="center"/>
                </w:tcPr>
                <w:p w14:paraId="08D85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无其他限制要求</w:t>
                  </w:r>
                </w:p>
              </w:tc>
            </w:tr>
            <w:tr w14:paraId="38881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1" w:type="pct"/>
                  <w:tcBorders>
                    <w:tl2br w:val="nil"/>
                    <w:tr2bl w:val="nil"/>
                  </w:tcBorders>
                  <w:vAlign w:val="center"/>
                </w:tcPr>
                <w:p w14:paraId="3FAE2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其他对照分析</w:t>
                  </w:r>
                </w:p>
              </w:tc>
              <w:tc>
                <w:tcPr>
                  <w:tcW w:w="1078" w:type="pct"/>
                  <w:tcBorders>
                    <w:tl2br w:val="nil"/>
                    <w:tr2bl w:val="nil"/>
                  </w:tcBorders>
                  <w:vAlign w:val="center"/>
                </w:tcPr>
                <w:p w14:paraId="50AF76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不涉及</w:t>
                  </w:r>
                </w:p>
              </w:tc>
              <w:tc>
                <w:tcPr>
                  <w:tcW w:w="1270" w:type="pct"/>
                  <w:tcBorders>
                    <w:tl2br w:val="nil"/>
                    <w:tr2bl w:val="nil"/>
                  </w:tcBorders>
                  <w:vAlign w:val="center"/>
                </w:tcPr>
                <w:p w14:paraId="0EE065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无其他限制要求</w:t>
                  </w:r>
                </w:p>
              </w:tc>
            </w:tr>
          </w:tbl>
          <w:p w14:paraId="405BD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根据上述分区管控准入清单符合性分析表及</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三线一单</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生态环境分区管控单元示意图。</w:t>
            </w:r>
            <w:r>
              <w:rPr>
                <w:rFonts w:hint="default" w:ascii="Times New Roman" w:hAnsi="Times New Roman" w:eastAsia="宋体" w:cs="Times New Roman"/>
                <w:color w:val="auto"/>
                <w:sz w:val="24"/>
                <w:szCs w:val="24"/>
                <w:highlight w:val="none"/>
                <w:lang w:val="en-US" w:eastAsia="zh-CN"/>
              </w:rPr>
              <w:t>本项目位于</w:t>
            </w:r>
            <w:r>
              <w:rPr>
                <w:rFonts w:hint="default" w:ascii="Times New Roman" w:hAnsi="Times New Roman" w:eastAsia="宋体" w:cs="Times New Roman"/>
                <w:color w:val="auto"/>
                <w:sz w:val="24"/>
                <w:szCs w:val="24"/>
                <w:highlight w:val="none"/>
              </w:rPr>
              <w:t>重点管控单元，满足管控单元管控要求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不涉及生态环境敏感区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且</w:t>
            </w:r>
            <w:r>
              <w:rPr>
                <w:rFonts w:hint="default" w:ascii="Times New Roman" w:hAnsi="Times New Roman" w:eastAsia="宋体" w:cs="Times New Roman"/>
                <w:color w:val="auto"/>
                <w:sz w:val="24"/>
                <w:szCs w:val="24"/>
                <w:highlight w:val="none"/>
              </w:rPr>
              <w:t>企业针对产生的污染物均采取了相应的污染防治措施，可以有效降低项目生产过程中的污染物排放量，进而降低其对周围环境质量的影响，评价要求企业具备完善的环境风险防范机制、完善的风险防范措施及相应的物资配备，可有效防控环境风险。因此，项目符合</w:t>
            </w:r>
            <w:r>
              <w:rPr>
                <w:rFonts w:hint="eastAsia"/>
                <w:b w:val="0"/>
                <w:bCs w:val="0"/>
                <w:color w:val="auto"/>
                <w:sz w:val="24"/>
                <w:szCs w:val="21"/>
                <w:highlight w:val="none"/>
                <w:lang w:val="en-US" w:eastAsia="zh-CN"/>
              </w:rPr>
              <w:t>《西安市人民政府关于印发“三线一单”生态环境分区管控方案的通知》（市政发〔2021〕22号）</w:t>
            </w:r>
            <w:r>
              <w:rPr>
                <w:rFonts w:hint="default" w:ascii="Times New Roman" w:hAnsi="Times New Roman" w:eastAsia="宋体" w:cs="Times New Roman"/>
                <w:color w:val="auto"/>
                <w:sz w:val="24"/>
                <w:szCs w:val="24"/>
                <w:highlight w:val="none"/>
              </w:rPr>
              <w:t>相关要求。</w:t>
            </w:r>
          </w:p>
          <w:p w14:paraId="38459F3E">
            <w:pPr>
              <w:pStyle w:val="74"/>
              <w:keepNext w:val="0"/>
              <w:keepLines w:val="0"/>
              <w:suppressLineNumbers w:val="0"/>
              <w:spacing w:before="0" w:beforeAutospacing="0" w:after="0" w:afterAutospacing="0" w:line="348"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3、相关环保</w:t>
            </w:r>
            <w:r>
              <w:rPr>
                <w:rFonts w:hint="default" w:ascii="Times New Roman" w:hAnsi="Times New Roman" w:eastAsia="宋体" w:cs="Times New Roman"/>
                <w:b/>
                <w:bCs/>
                <w:color w:val="auto"/>
                <w:sz w:val="24"/>
                <w:szCs w:val="24"/>
                <w:highlight w:val="none"/>
              </w:rPr>
              <w:t>政策</w:t>
            </w:r>
            <w:r>
              <w:rPr>
                <w:rFonts w:hint="default" w:ascii="Times New Roman" w:hAnsi="Times New Roman" w:eastAsia="宋体" w:cs="Times New Roman"/>
                <w:b/>
                <w:bCs/>
                <w:color w:val="auto"/>
                <w:sz w:val="24"/>
                <w:szCs w:val="24"/>
                <w:highlight w:val="none"/>
                <w:lang w:val="en-US" w:eastAsia="zh-CN"/>
              </w:rPr>
              <w:t>符合性</w:t>
            </w:r>
          </w:p>
          <w:p w14:paraId="7E501B2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 xml:space="preserve">  项目与相关政策符合性分析一览表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845"/>
              <w:gridCol w:w="3497"/>
              <w:gridCol w:w="1992"/>
              <w:gridCol w:w="326"/>
            </w:tblGrid>
            <w:tr w14:paraId="177D8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noWrap w:val="0"/>
                  <w:vAlign w:val="center"/>
                </w:tcPr>
                <w:p w14:paraId="3219C2FB">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名称</w:t>
                  </w:r>
                </w:p>
              </w:tc>
              <w:tc>
                <w:tcPr>
                  <w:tcW w:w="2282" w:type="pct"/>
                  <w:noWrap w:val="0"/>
                  <w:vAlign w:val="center"/>
                </w:tcPr>
                <w:p w14:paraId="779A0D37">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rPr>
                    <w:t>相关内容</w:t>
                  </w:r>
                </w:p>
              </w:tc>
              <w:tc>
                <w:tcPr>
                  <w:tcW w:w="1300" w:type="pct"/>
                  <w:noWrap w:val="0"/>
                  <w:vAlign w:val="center"/>
                </w:tcPr>
                <w:p w14:paraId="7AE35EE0">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rPr>
                    <w:t>项目情况</w:t>
                  </w:r>
                </w:p>
              </w:tc>
              <w:tc>
                <w:tcPr>
                  <w:tcW w:w="212" w:type="pct"/>
                  <w:noWrap w:val="0"/>
                  <w:vAlign w:val="center"/>
                </w:tcPr>
                <w:p w14:paraId="028B9236">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结论</w:t>
                  </w:r>
                </w:p>
              </w:tc>
            </w:tr>
            <w:tr w14:paraId="3FD9F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noWrap w:val="0"/>
                  <w:vAlign w:val="center"/>
                </w:tcPr>
                <w:p w14:paraId="50D9B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p w14:paraId="5014C8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《空气质量持续改善行动计划》国发〔2023〕24号</w:t>
                  </w:r>
                </w:p>
              </w:tc>
              <w:tc>
                <w:tcPr>
                  <w:tcW w:w="2282" w:type="pct"/>
                  <w:noWrap w:val="0"/>
                  <w:vAlign w:val="center"/>
                </w:tcPr>
                <w:p w14:paraId="1C5F2CF6">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实施工业炉窑清洁能源替代。有序推进以电代煤，积极稳妥推进以气代煤。重点区域不再新增燃料类煤气发生炉，新改扩建加热炉、热处理炉、干燥炉、真空自耗电弧炉原则上采用清洁低碳能源。</w:t>
                  </w:r>
                </w:p>
              </w:tc>
              <w:tc>
                <w:tcPr>
                  <w:tcW w:w="1300" w:type="pct"/>
                  <w:noWrap w:val="0"/>
                  <w:vAlign w:val="center"/>
                </w:tcPr>
                <w:p w14:paraId="69008E53">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w:t>
                  </w:r>
                  <w:r>
                    <w:rPr>
                      <w:rFonts w:hint="eastAsia" w:ascii="Times New Roman" w:hAnsi="Times New Roman" w:eastAsia="宋体" w:cs="Times New Roman"/>
                      <w:snapToGrid/>
                      <w:color w:val="auto"/>
                      <w:kern w:val="0"/>
                      <w:sz w:val="21"/>
                      <w:szCs w:val="21"/>
                      <w:highlight w:val="none"/>
                      <w:lang w:val="en-US" w:eastAsia="zh-CN" w:bidi="ar"/>
                    </w:rPr>
                    <w:t>使用</w:t>
                  </w:r>
                  <w:r>
                    <w:rPr>
                      <w:rFonts w:hint="default" w:ascii="Times New Roman" w:hAnsi="Times New Roman" w:eastAsia="宋体" w:cs="Times New Roman"/>
                      <w:snapToGrid/>
                      <w:color w:val="auto"/>
                      <w:kern w:val="0"/>
                      <w:sz w:val="21"/>
                      <w:szCs w:val="21"/>
                      <w:highlight w:val="none"/>
                      <w:lang w:val="en-US" w:eastAsia="zh-CN" w:bidi="ar"/>
                    </w:rPr>
                    <w:t>能源为电</w:t>
                  </w:r>
                  <w:r>
                    <w:rPr>
                      <w:rFonts w:hint="eastAsia" w:ascii="Times New Roman" w:hAnsi="Times New Roman" w:eastAsia="宋体" w:cs="Times New Roman"/>
                      <w:snapToGrid/>
                      <w:color w:val="auto"/>
                      <w:kern w:val="0"/>
                      <w:sz w:val="21"/>
                      <w:szCs w:val="21"/>
                      <w:highlight w:val="none"/>
                      <w:lang w:val="en-US" w:eastAsia="zh-CN" w:bidi="ar"/>
                    </w:rPr>
                    <w:t>能</w:t>
                  </w:r>
                  <w:r>
                    <w:rPr>
                      <w:rFonts w:hint="default" w:ascii="Times New Roman" w:hAnsi="Times New Roman" w:eastAsia="宋体" w:cs="Times New Roman"/>
                      <w:snapToGrid/>
                      <w:color w:val="auto"/>
                      <w:kern w:val="0"/>
                      <w:sz w:val="21"/>
                      <w:szCs w:val="21"/>
                      <w:highlight w:val="none"/>
                      <w:lang w:val="en-US" w:eastAsia="zh-CN" w:bidi="ar"/>
                    </w:rPr>
                    <w:t>。</w:t>
                  </w:r>
                </w:p>
              </w:tc>
              <w:tc>
                <w:tcPr>
                  <w:tcW w:w="212" w:type="pct"/>
                  <w:noWrap w:val="0"/>
                  <w:vAlign w:val="center"/>
                </w:tcPr>
                <w:p w14:paraId="2090CF3D">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2F320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noWrap w:val="0"/>
                  <w:vAlign w:val="center"/>
                </w:tcPr>
                <w:p w14:paraId="6F940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p w14:paraId="4CB65D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w:t>
                  </w:r>
                  <w:r>
                    <w:rPr>
                      <w:rFonts w:hint="eastAsia" w:ascii="Times New Roman" w:hAnsi="Times New Roman" w:eastAsia="宋体" w:cs="Times New Roman"/>
                      <w:snapToGrid/>
                      <w:color w:val="auto"/>
                      <w:kern w:val="2"/>
                      <w:sz w:val="21"/>
                      <w:szCs w:val="21"/>
                      <w:highlight w:val="none"/>
                      <w:lang w:val="en-US" w:eastAsia="zh-CN"/>
                    </w:rPr>
                    <w:t>“十四五”</w:t>
                  </w:r>
                  <w:r>
                    <w:rPr>
                      <w:rFonts w:hint="default" w:ascii="Times New Roman" w:hAnsi="Times New Roman" w:eastAsia="宋体" w:cs="Times New Roman"/>
                      <w:snapToGrid/>
                      <w:color w:val="auto"/>
                      <w:kern w:val="2"/>
                      <w:sz w:val="21"/>
                      <w:szCs w:val="21"/>
                      <w:highlight w:val="none"/>
                      <w:lang w:val="en-US" w:eastAsia="zh-CN"/>
                    </w:rPr>
                    <w:t>节能减排综合工作方案》</w:t>
                  </w:r>
                </w:p>
              </w:tc>
              <w:tc>
                <w:tcPr>
                  <w:tcW w:w="2282" w:type="pct"/>
                  <w:noWrap w:val="0"/>
                  <w:vAlign w:val="center"/>
                </w:tcPr>
                <w:p w14:paraId="6F310D6F">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坚决遏制高耗能高排放项目盲目发展。根据国家产业规划、产业政策、节能审查、环境影响评价审批等政策规定，对在建、拟建、建成的高耗能高排放项目（以下称</w:t>
                  </w:r>
                  <w:r>
                    <w:rPr>
                      <w:rFonts w:hint="eastAsia" w:ascii="Times New Roman" w:hAnsi="Times New Roman" w:eastAsia="宋体" w:cs="Times New Roman"/>
                      <w:snapToGrid/>
                      <w:color w:val="auto"/>
                      <w:kern w:val="0"/>
                      <w:sz w:val="21"/>
                      <w:szCs w:val="21"/>
                      <w:highlight w:val="none"/>
                      <w:lang w:val="en-US" w:eastAsia="zh-CN" w:bidi="ar"/>
                    </w:rPr>
                    <w:t>“两高”</w:t>
                  </w:r>
                  <w:r>
                    <w:rPr>
                      <w:rFonts w:hint="default" w:ascii="Times New Roman" w:hAnsi="Times New Roman" w:eastAsia="宋体" w:cs="Times New Roman"/>
                      <w:snapToGrid/>
                      <w:color w:val="auto"/>
                      <w:kern w:val="0"/>
                      <w:sz w:val="21"/>
                      <w:szCs w:val="21"/>
                      <w:highlight w:val="none"/>
                      <w:lang w:val="en-US" w:eastAsia="zh-CN" w:bidi="ar"/>
                    </w:rPr>
                    <w:t>项目）开展评估检查，建立工作清单，明确处置意见，严禁违规</w:t>
                  </w:r>
                  <w:r>
                    <w:rPr>
                      <w:rFonts w:hint="eastAsia" w:ascii="Times New Roman" w:hAnsi="Times New Roman" w:eastAsia="宋体" w:cs="Times New Roman"/>
                      <w:snapToGrid/>
                      <w:color w:val="auto"/>
                      <w:kern w:val="0"/>
                      <w:sz w:val="21"/>
                      <w:szCs w:val="21"/>
                      <w:highlight w:val="none"/>
                      <w:lang w:val="en-US" w:eastAsia="zh-CN" w:bidi="ar"/>
                    </w:rPr>
                    <w:t>“两高”</w:t>
                  </w:r>
                  <w:r>
                    <w:rPr>
                      <w:rFonts w:hint="default" w:ascii="Times New Roman" w:hAnsi="Times New Roman" w:eastAsia="宋体" w:cs="Times New Roman"/>
                      <w:snapToGrid/>
                      <w:color w:val="auto"/>
                      <w:kern w:val="0"/>
                      <w:sz w:val="21"/>
                      <w:szCs w:val="21"/>
                      <w:highlight w:val="none"/>
                      <w:lang w:val="en-US" w:eastAsia="zh-CN" w:bidi="ar"/>
                    </w:rPr>
                    <w:t>项目建设、运行，坚决拿下不符合要求的</w:t>
                  </w:r>
                  <w:r>
                    <w:rPr>
                      <w:rFonts w:hint="eastAsia" w:ascii="Times New Roman" w:hAnsi="Times New Roman" w:eastAsia="宋体" w:cs="Times New Roman"/>
                      <w:snapToGrid/>
                      <w:color w:val="auto"/>
                      <w:kern w:val="0"/>
                      <w:sz w:val="21"/>
                      <w:szCs w:val="21"/>
                      <w:highlight w:val="none"/>
                      <w:lang w:val="en-US" w:eastAsia="zh-CN" w:bidi="ar"/>
                    </w:rPr>
                    <w:t>“两高”</w:t>
                  </w:r>
                  <w:r>
                    <w:rPr>
                      <w:rFonts w:hint="default" w:ascii="Times New Roman" w:hAnsi="Times New Roman" w:eastAsia="宋体" w:cs="Times New Roman"/>
                      <w:snapToGrid/>
                      <w:color w:val="auto"/>
                      <w:kern w:val="0"/>
                      <w:sz w:val="21"/>
                      <w:szCs w:val="21"/>
                      <w:highlight w:val="none"/>
                      <w:lang w:val="en-US" w:eastAsia="zh-CN" w:bidi="ar"/>
                    </w:rPr>
                    <w:t>项目。</w:t>
                  </w:r>
                </w:p>
              </w:tc>
              <w:tc>
                <w:tcPr>
                  <w:tcW w:w="1300" w:type="pct"/>
                  <w:noWrap w:val="0"/>
                  <w:vAlign w:val="center"/>
                </w:tcPr>
                <w:p w14:paraId="19922C1C">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本项目为</w:t>
                  </w:r>
                  <w:r>
                    <w:rPr>
                      <w:rFonts w:hint="eastAsia" w:cs="Times New Roman"/>
                      <w:snapToGrid/>
                      <w:color w:val="auto"/>
                      <w:kern w:val="0"/>
                      <w:sz w:val="21"/>
                      <w:szCs w:val="21"/>
                      <w:highlight w:val="none"/>
                      <w:lang w:val="en-US" w:eastAsia="zh-CN" w:bidi="ar"/>
                    </w:rPr>
                    <w:t>有色金属压延加工项目</w:t>
                  </w:r>
                  <w:r>
                    <w:rPr>
                      <w:rFonts w:hint="default" w:ascii="Times New Roman" w:hAnsi="Times New Roman" w:eastAsia="宋体" w:cs="Times New Roman"/>
                      <w:snapToGrid/>
                      <w:color w:val="auto"/>
                      <w:kern w:val="0"/>
                      <w:sz w:val="21"/>
                      <w:szCs w:val="21"/>
                      <w:highlight w:val="none"/>
                      <w:lang w:val="en-US" w:eastAsia="zh-CN" w:bidi="ar"/>
                    </w:rPr>
                    <w:t>，不属于</w:t>
                  </w:r>
                  <w:r>
                    <w:rPr>
                      <w:rFonts w:hint="eastAsia" w:ascii="Times New Roman" w:hAnsi="Times New Roman" w:eastAsia="宋体" w:cs="Times New Roman"/>
                      <w:snapToGrid/>
                      <w:color w:val="auto"/>
                      <w:kern w:val="0"/>
                      <w:sz w:val="21"/>
                      <w:szCs w:val="21"/>
                      <w:highlight w:val="none"/>
                      <w:lang w:val="en-US" w:eastAsia="zh-CN" w:bidi="ar"/>
                    </w:rPr>
                    <w:t>“两高”</w:t>
                  </w:r>
                  <w:r>
                    <w:rPr>
                      <w:rFonts w:hint="default" w:ascii="Times New Roman" w:hAnsi="Times New Roman" w:eastAsia="宋体" w:cs="Times New Roman"/>
                      <w:snapToGrid/>
                      <w:color w:val="auto"/>
                      <w:kern w:val="0"/>
                      <w:sz w:val="21"/>
                      <w:szCs w:val="21"/>
                      <w:highlight w:val="none"/>
                      <w:lang w:val="en-US" w:eastAsia="zh-CN" w:bidi="ar"/>
                    </w:rPr>
                    <w:t>项目。</w:t>
                  </w:r>
                </w:p>
              </w:tc>
              <w:tc>
                <w:tcPr>
                  <w:tcW w:w="212" w:type="pct"/>
                  <w:noWrap w:val="0"/>
                  <w:vAlign w:val="center"/>
                </w:tcPr>
                <w:p w14:paraId="2F230DFE">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2394B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42" w:hRule="atLeast"/>
                <w:jc w:val="center"/>
              </w:trPr>
              <w:tc>
                <w:tcPr>
                  <w:tcW w:w="1204" w:type="pct"/>
                  <w:vMerge w:val="restart"/>
                  <w:noWrap w:val="0"/>
                  <w:vAlign w:val="center"/>
                </w:tcPr>
                <w:p w14:paraId="4172A5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《西安市</w:t>
                  </w:r>
                  <w:r>
                    <w:rPr>
                      <w:rFonts w:hint="eastAsia" w:ascii="Times New Roman" w:hAnsi="Times New Roman" w:eastAsia="宋体" w:cs="Times New Roman"/>
                      <w:snapToGrid/>
                      <w:color w:val="auto"/>
                      <w:kern w:val="2"/>
                      <w:sz w:val="21"/>
                      <w:szCs w:val="21"/>
                      <w:highlight w:val="none"/>
                      <w:lang w:val="en-US" w:eastAsia="zh-CN"/>
                    </w:rPr>
                    <w:t>“十四五”</w:t>
                  </w:r>
                  <w:r>
                    <w:rPr>
                      <w:rFonts w:hint="default" w:ascii="Times New Roman" w:hAnsi="Times New Roman" w:eastAsia="宋体" w:cs="Times New Roman"/>
                      <w:snapToGrid/>
                      <w:color w:val="auto"/>
                      <w:kern w:val="2"/>
                      <w:sz w:val="21"/>
                      <w:szCs w:val="21"/>
                      <w:highlight w:val="none"/>
                      <w:lang w:val="en-US" w:eastAsia="zh-CN"/>
                    </w:rPr>
                    <w:t>生态环境保护规划》</w:t>
                  </w:r>
                </w:p>
              </w:tc>
              <w:tc>
                <w:tcPr>
                  <w:tcW w:w="2282" w:type="pct"/>
                  <w:shd w:val="clear" w:color="auto" w:fill="auto"/>
                  <w:noWrap w:val="0"/>
                  <w:vAlign w:val="center"/>
                </w:tcPr>
                <w:p w14:paraId="5348A42A">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eastAsia" w:ascii="Times New Roman" w:hAnsi="Times New Roman" w:eastAsia="宋体" w:cs="Times New Roman"/>
                      <w:snapToGrid/>
                      <w:color w:val="auto"/>
                      <w:kern w:val="0"/>
                      <w:sz w:val="21"/>
                      <w:szCs w:val="21"/>
                      <w:highlight w:val="none"/>
                      <w:lang w:val="en-US" w:eastAsia="zh-CN" w:bidi="ar"/>
                    </w:rPr>
                    <w:t>优化能源结构，提升能源清洁化水平。改善城市能源消费结构，扩大清洁能源使用范围。严格实施煤炭消费减量替代，实现煤炭消费总量负增长。</w:t>
                  </w:r>
                </w:p>
              </w:tc>
              <w:tc>
                <w:tcPr>
                  <w:tcW w:w="1300" w:type="pct"/>
                  <w:shd w:val="clear" w:color="auto" w:fill="auto"/>
                  <w:noWrap w:val="0"/>
                  <w:vAlign w:val="center"/>
                </w:tcPr>
                <w:p w14:paraId="70DB0327">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eastAsia" w:cs="Times New Roman"/>
                      <w:snapToGrid/>
                      <w:color w:val="auto"/>
                      <w:kern w:val="0"/>
                      <w:sz w:val="21"/>
                      <w:szCs w:val="21"/>
                      <w:highlight w:val="none"/>
                      <w:lang w:val="en-US" w:eastAsia="zh-CN" w:bidi="ar"/>
                    </w:rPr>
                    <w:t>本项目使用电能，为清洁能源，不涉及</w:t>
                  </w:r>
                  <w:r>
                    <w:rPr>
                      <w:rFonts w:hint="eastAsia" w:ascii="Times New Roman" w:hAnsi="Times New Roman" w:eastAsia="宋体" w:cs="Times New Roman"/>
                      <w:snapToGrid/>
                      <w:color w:val="auto"/>
                      <w:kern w:val="0"/>
                      <w:sz w:val="21"/>
                      <w:szCs w:val="21"/>
                      <w:highlight w:val="none"/>
                      <w:lang w:val="en-US" w:eastAsia="zh-CN" w:bidi="ar"/>
                    </w:rPr>
                    <w:t>煤炭</w:t>
                  </w:r>
                  <w:r>
                    <w:rPr>
                      <w:rFonts w:hint="eastAsia" w:cs="Times New Roman"/>
                      <w:snapToGrid/>
                      <w:color w:val="auto"/>
                      <w:kern w:val="0"/>
                      <w:sz w:val="21"/>
                      <w:szCs w:val="21"/>
                      <w:highlight w:val="none"/>
                      <w:lang w:val="en-US" w:eastAsia="zh-CN" w:bidi="ar"/>
                    </w:rPr>
                    <w:t>。</w:t>
                  </w:r>
                </w:p>
              </w:tc>
              <w:tc>
                <w:tcPr>
                  <w:tcW w:w="212" w:type="pct"/>
                  <w:shd w:val="clear" w:color="auto" w:fill="auto"/>
                  <w:noWrap w:val="0"/>
                  <w:vAlign w:val="center"/>
                </w:tcPr>
                <w:p w14:paraId="67856E3C">
                  <w:pPr>
                    <w:pStyle w:val="98"/>
                    <w:keepNext w:val="0"/>
                    <w:keepLines w:val="0"/>
                    <w:pageBreakBefore w:val="0"/>
                    <w:suppressLineNumbers w:val="0"/>
                    <w:kinsoku/>
                    <w:overflowPunct/>
                    <w:bidi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639DC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42" w:hRule="atLeast"/>
                <w:jc w:val="center"/>
              </w:trPr>
              <w:tc>
                <w:tcPr>
                  <w:tcW w:w="1204" w:type="pct"/>
                  <w:vMerge w:val="continue"/>
                  <w:noWrap w:val="0"/>
                  <w:vAlign w:val="center"/>
                </w:tcPr>
                <w:p w14:paraId="3218E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tc>
              <w:tc>
                <w:tcPr>
                  <w:tcW w:w="2282" w:type="pct"/>
                  <w:noWrap w:val="0"/>
                  <w:vAlign w:val="center"/>
                </w:tcPr>
                <w:p w14:paraId="14183E81">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cs="Times New Roman"/>
                      <w:color w:val="auto"/>
                      <w:szCs w:val="21"/>
                      <w:highlight w:val="none"/>
                    </w:rPr>
                    <w:t>持续推进PM</w:t>
                  </w:r>
                  <w:r>
                    <w:rPr>
                      <w:rFonts w:hint="default" w:ascii="Times New Roman" w:hAnsi="Times New Roman" w:cs="Times New Roman"/>
                      <w:color w:val="auto"/>
                      <w:szCs w:val="21"/>
                      <w:highlight w:val="none"/>
                      <w:vertAlign w:val="subscript"/>
                    </w:rPr>
                    <w:t>2.5</w:t>
                  </w:r>
                  <w:r>
                    <w:rPr>
                      <w:rFonts w:hint="default" w:ascii="Times New Roman" w:hAnsi="Times New Roman" w:cs="Times New Roman"/>
                      <w:color w:val="auto"/>
                      <w:szCs w:val="21"/>
                      <w:highlight w:val="none"/>
                    </w:rPr>
                    <w:t>与O</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协同控制。强化部门间协调联动机制，开展从源头治理到环境控制的全过程管控，大力控制NO</w:t>
                  </w:r>
                  <w:r>
                    <w:rPr>
                      <w:rFonts w:hint="default" w:ascii="Times New Roman" w:hAnsi="Times New Roman" w:cs="Times New Roman"/>
                      <w:color w:val="auto"/>
                      <w:szCs w:val="21"/>
                      <w:highlight w:val="none"/>
                      <w:vertAlign w:val="subscript"/>
                    </w:rPr>
                    <w:t>x</w:t>
                  </w:r>
                  <w:r>
                    <w:rPr>
                      <w:rFonts w:hint="default" w:ascii="Times New Roman" w:hAnsi="Times New Roman" w:cs="Times New Roman"/>
                      <w:color w:val="auto"/>
                      <w:szCs w:val="21"/>
                      <w:highlight w:val="none"/>
                    </w:rPr>
                    <w:t>和VOCs排放，统筹建立以PM</w:t>
                  </w:r>
                  <w:r>
                    <w:rPr>
                      <w:rFonts w:hint="default" w:ascii="Times New Roman" w:hAnsi="Times New Roman" w:cs="Times New Roman"/>
                      <w:color w:val="auto"/>
                      <w:szCs w:val="21"/>
                      <w:highlight w:val="none"/>
                      <w:vertAlign w:val="subscript"/>
                    </w:rPr>
                    <w:t>2.5</w:t>
                  </w:r>
                  <w:r>
                    <w:rPr>
                      <w:rFonts w:hint="default" w:ascii="Times New Roman" w:hAnsi="Times New Roman" w:cs="Times New Roman"/>
                      <w:color w:val="auto"/>
                      <w:szCs w:val="21"/>
                      <w:highlight w:val="none"/>
                    </w:rPr>
                    <w:t>和O</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治理为核心、以NO</w:t>
                  </w:r>
                  <w:r>
                    <w:rPr>
                      <w:rFonts w:hint="default" w:ascii="Times New Roman" w:hAnsi="Times New Roman" w:cs="Times New Roman"/>
                      <w:color w:val="auto"/>
                      <w:szCs w:val="21"/>
                      <w:highlight w:val="none"/>
                      <w:vertAlign w:val="subscript"/>
                    </w:rPr>
                    <w:t>x</w:t>
                  </w:r>
                  <w:r>
                    <w:rPr>
                      <w:rFonts w:hint="default" w:ascii="Times New Roman" w:hAnsi="Times New Roman" w:cs="Times New Roman"/>
                      <w:color w:val="auto"/>
                      <w:szCs w:val="21"/>
                      <w:highlight w:val="none"/>
                    </w:rPr>
                    <w:t>和VOCs综合整治为切入点的空气质量持续改善行动计划，有效提升全市大气环境质量</w:t>
                  </w:r>
                </w:p>
              </w:tc>
              <w:tc>
                <w:tcPr>
                  <w:tcW w:w="1300" w:type="pct"/>
                  <w:noWrap w:val="0"/>
                  <w:vAlign w:val="center"/>
                </w:tcPr>
                <w:p w14:paraId="343C725E">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eastAsia" w:cs="Times New Roman"/>
                      <w:snapToGrid/>
                      <w:color w:val="auto"/>
                      <w:kern w:val="0"/>
                      <w:sz w:val="21"/>
                      <w:szCs w:val="21"/>
                      <w:highlight w:val="none"/>
                      <w:lang w:val="en-US" w:eastAsia="zh-CN" w:bidi="ar"/>
                    </w:rPr>
                  </w:pPr>
                  <w:r>
                    <w:rPr>
                      <w:rFonts w:hint="eastAsia" w:ascii="Times New Roman" w:hAnsi="Times New Roman" w:eastAsia="宋体" w:cs="Times New Roman"/>
                      <w:snapToGrid/>
                      <w:color w:val="auto"/>
                      <w:kern w:val="0"/>
                      <w:sz w:val="21"/>
                      <w:szCs w:val="21"/>
                      <w:highlight w:val="none"/>
                      <w:lang w:val="en-US" w:eastAsia="zh-CN" w:bidi="ar"/>
                    </w:rPr>
                    <w:t>本项目</w:t>
                  </w:r>
                  <w:r>
                    <w:rPr>
                      <w:rFonts w:hint="default" w:ascii="Times New Roman" w:hAnsi="Times New Roman" w:eastAsia="宋体" w:cs="Times New Roman"/>
                      <w:snapToGrid/>
                      <w:color w:val="auto"/>
                      <w:kern w:val="0"/>
                      <w:sz w:val="21"/>
                      <w:szCs w:val="21"/>
                      <w:highlight w:val="none"/>
                      <w:lang w:val="en-US" w:eastAsia="zh-CN" w:bidi="ar"/>
                    </w:rPr>
                    <w:t>实验室废气经</w:t>
                  </w:r>
                  <w:r>
                    <w:rPr>
                      <w:rFonts w:hint="eastAsia" w:cs="Times New Roman"/>
                      <w:snapToGrid/>
                      <w:color w:val="auto"/>
                      <w:kern w:val="0"/>
                      <w:sz w:val="21"/>
                      <w:szCs w:val="21"/>
                      <w:highlight w:val="none"/>
                      <w:lang w:val="en-US" w:eastAsia="zh-CN" w:bidi="ar"/>
                    </w:rPr>
                    <w:t>通风橱+碱式喷淋塔+二级活性炭吸附装置</w:t>
                  </w:r>
                  <w:r>
                    <w:rPr>
                      <w:rFonts w:hint="default" w:ascii="Times New Roman" w:hAnsi="Times New Roman" w:eastAsia="宋体" w:cs="Times New Roman"/>
                      <w:snapToGrid/>
                      <w:color w:val="auto"/>
                      <w:kern w:val="0"/>
                      <w:sz w:val="21"/>
                      <w:szCs w:val="21"/>
                      <w:highlight w:val="none"/>
                      <w:lang w:val="en-US" w:eastAsia="zh-CN" w:bidi="ar"/>
                    </w:rPr>
                    <w:t>处理后由</w:t>
                  </w:r>
                  <w:r>
                    <w:rPr>
                      <w:rFonts w:hint="eastAsia" w:ascii="Times New Roman" w:hAnsi="Times New Roman" w:eastAsia="宋体" w:cs="Times New Roman"/>
                      <w:snapToGrid/>
                      <w:color w:val="auto"/>
                      <w:kern w:val="0"/>
                      <w:sz w:val="21"/>
                      <w:szCs w:val="21"/>
                      <w:highlight w:val="none"/>
                      <w:lang w:val="en-US" w:eastAsia="zh-CN" w:bidi="ar"/>
                    </w:rPr>
                    <w:t>41米高</w:t>
                  </w:r>
                  <w:r>
                    <w:rPr>
                      <w:rFonts w:hint="default" w:ascii="Times New Roman" w:hAnsi="Times New Roman" w:eastAsia="宋体" w:cs="Times New Roman"/>
                      <w:snapToGrid/>
                      <w:color w:val="auto"/>
                      <w:kern w:val="0"/>
                      <w:sz w:val="21"/>
                      <w:szCs w:val="21"/>
                      <w:highlight w:val="none"/>
                      <w:lang w:val="en-US" w:eastAsia="zh-CN" w:bidi="ar"/>
                    </w:rPr>
                    <w:t>排气筒DA001排放</w:t>
                  </w:r>
                  <w:r>
                    <w:rPr>
                      <w:rFonts w:hint="eastAsia" w:ascii="Times New Roman" w:hAnsi="Times New Roman" w:eastAsia="宋体" w:cs="Times New Roman"/>
                      <w:snapToGrid/>
                      <w:color w:val="auto"/>
                      <w:kern w:val="0"/>
                      <w:sz w:val="21"/>
                      <w:szCs w:val="21"/>
                      <w:highlight w:val="none"/>
                      <w:lang w:val="en-US" w:eastAsia="zh-CN" w:bidi="ar"/>
                    </w:rPr>
                    <w:t>。</w:t>
                  </w:r>
                </w:p>
              </w:tc>
              <w:tc>
                <w:tcPr>
                  <w:tcW w:w="212" w:type="pct"/>
                  <w:noWrap w:val="0"/>
                  <w:vAlign w:val="center"/>
                </w:tcPr>
                <w:p w14:paraId="2FF83D48">
                  <w:pPr>
                    <w:pStyle w:val="98"/>
                    <w:keepNext w:val="0"/>
                    <w:keepLines w:val="0"/>
                    <w:pageBreakBefore w:val="0"/>
                    <w:suppressLineNumbers w:val="0"/>
                    <w:kinsoku/>
                    <w:overflowPunct/>
                    <w:bidi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EBE5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noWrap w:val="0"/>
                  <w:vAlign w:val="center"/>
                </w:tcPr>
                <w:p w14:paraId="10D4D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《西安市生态环境局办公室关于加强涉气项目环境影响评价管理的通知》</w:t>
                  </w:r>
                </w:p>
              </w:tc>
              <w:tc>
                <w:tcPr>
                  <w:tcW w:w="2282" w:type="pct"/>
                  <w:noWrap w:val="0"/>
                  <w:vAlign w:val="center"/>
                </w:tcPr>
                <w:p w14:paraId="6CBA8F43">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全面提升涉气重点行业企业治污减排水平。各区（县）、开发区范围内新改扩建涉气重点行业项目应达到环保绩效A级、绩效引领性水平，周至县、蓝田县应达到环保绩效B级及以上水平。</w:t>
                  </w:r>
                </w:p>
              </w:tc>
              <w:tc>
                <w:tcPr>
                  <w:tcW w:w="1300" w:type="pct"/>
                  <w:noWrap w:val="0"/>
                  <w:vAlign w:val="center"/>
                </w:tcPr>
                <w:p w14:paraId="78244440">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根据《重污染天气重点行业应急减排措施制定技术指南》（2020年修订版）查询，</w:t>
                  </w:r>
                  <w:r>
                    <w:rPr>
                      <w:rFonts w:hint="eastAsia" w:cs="Times New Roman"/>
                      <w:snapToGrid/>
                      <w:color w:val="auto"/>
                      <w:kern w:val="0"/>
                      <w:sz w:val="21"/>
                      <w:szCs w:val="21"/>
                      <w:highlight w:val="none"/>
                      <w:lang w:val="en-US" w:eastAsia="zh-CN" w:bidi="ar"/>
                    </w:rPr>
                    <w:t>重点行业中</w:t>
                  </w:r>
                  <w:r>
                    <w:rPr>
                      <w:rFonts w:hint="default" w:ascii="Times New Roman" w:hAnsi="Times New Roman" w:eastAsia="宋体" w:cs="Times New Roman"/>
                      <w:snapToGrid/>
                      <w:color w:val="auto"/>
                      <w:kern w:val="0"/>
                      <w:sz w:val="21"/>
                      <w:szCs w:val="21"/>
                      <w:highlight w:val="none"/>
                      <w:lang w:val="en-US" w:eastAsia="zh-CN" w:bidi="ar"/>
                    </w:rPr>
                    <w:t>有色金属压延适用范围为铜压延加工和铝压延加工的企业，</w:t>
                  </w:r>
                  <w:r>
                    <w:rPr>
                      <w:rFonts w:hint="eastAsia" w:cs="Times New Roman"/>
                      <w:snapToGrid/>
                      <w:color w:val="auto"/>
                      <w:kern w:val="0"/>
                      <w:sz w:val="21"/>
                      <w:szCs w:val="21"/>
                      <w:highlight w:val="none"/>
                      <w:lang w:val="en-US" w:eastAsia="zh-CN" w:bidi="ar"/>
                    </w:rPr>
                    <w:t>本项目为</w:t>
                  </w:r>
                  <w:r>
                    <w:rPr>
                      <w:rFonts w:hint="default" w:ascii="Times New Roman" w:hAnsi="Times New Roman" w:eastAsia="宋体" w:cs="Times New Roman"/>
                      <w:snapToGrid/>
                      <w:color w:val="auto"/>
                      <w:kern w:val="0"/>
                      <w:sz w:val="21"/>
                      <w:szCs w:val="21"/>
                      <w:highlight w:val="none"/>
                      <w:lang w:val="en-US" w:eastAsia="zh-CN" w:bidi="ar"/>
                    </w:rPr>
                    <w:t>钛材压延加工企业</w:t>
                  </w:r>
                  <w:r>
                    <w:rPr>
                      <w:rFonts w:hint="eastAsia" w:cs="Times New Roman"/>
                      <w:snapToGrid/>
                      <w:color w:val="auto"/>
                      <w:kern w:val="0"/>
                      <w:sz w:val="21"/>
                      <w:szCs w:val="21"/>
                      <w:highlight w:val="none"/>
                      <w:lang w:val="en-US" w:eastAsia="zh-CN" w:bidi="ar"/>
                    </w:rPr>
                    <w:t>，故本项目不属于重点行业</w:t>
                  </w:r>
                  <w:r>
                    <w:rPr>
                      <w:rFonts w:hint="default" w:ascii="Times New Roman" w:hAnsi="Times New Roman" w:eastAsia="宋体" w:cs="Times New Roman"/>
                      <w:color w:val="auto"/>
                      <w:kern w:val="0"/>
                      <w:sz w:val="21"/>
                      <w:szCs w:val="21"/>
                      <w:highlight w:val="none"/>
                      <w:lang w:val="en-US" w:eastAsia="zh-CN" w:bidi="ar"/>
                    </w:rPr>
                    <w:t>，不需要编制绩效篇章。</w:t>
                  </w:r>
                </w:p>
              </w:tc>
              <w:tc>
                <w:tcPr>
                  <w:tcW w:w="212" w:type="pct"/>
                  <w:noWrap w:val="0"/>
                  <w:vAlign w:val="center"/>
                </w:tcPr>
                <w:p w14:paraId="1D5C0C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contextualSpacing/>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B826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restart"/>
                  <w:noWrap w:val="0"/>
                  <w:vAlign w:val="center"/>
                </w:tcPr>
                <w:p w14:paraId="75E67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《西安市大气污染防治条例》（2021年修正）</w:t>
                  </w:r>
                </w:p>
              </w:tc>
              <w:tc>
                <w:tcPr>
                  <w:tcW w:w="2282" w:type="pct"/>
                  <w:noWrap w:val="0"/>
                  <w:vAlign w:val="center"/>
                </w:tcPr>
                <w:p w14:paraId="3C164314">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第二十三条向大气排放污染物的企业事业单位和其他生产经营者应当安装大气污染防治设施并确保正常使用。大气污染防治设施因维修、故障等原因不能正常使用的，向大气排放污染物的企业事业单位和其他生产经营者应当采取限产或停产等措施，确保大气污染物排放达到规定的标准。</w:t>
                  </w:r>
                </w:p>
              </w:tc>
              <w:tc>
                <w:tcPr>
                  <w:tcW w:w="1300" w:type="pct"/>
                  <w:noWrap w:val="0"/>
                  <w:vAlign w:val="center"/>
                </w:tcPr>
                <w:p w14:paraId="25D2CE03">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w:t>
                  </w:r>
                  <w:r>
                    <w:rPr>
                      <w:rFonts w:hint="default" w:ascii="Times New Roman" w:hAnsi="Times New Roman" w:eastAsia="宋体" w:cs="Times New Roman"/>
                      <w:color w:val="auto"/>
                      <w:highlight w:val="none"/>
                      <w:lang w:val="en-US" w:eastAsia="zh-CN"/>
                    </w:rPr>
                    <w:t>运营过程中产生少量的焊接烟尘经设备自带的焊烟净化器处理后无组织排放</w:t>
                  </w:r>
                  <w:r>
                    <w:rPr>
                      <w:rFonts w:hint="eastAsia" w:cs="Times New Roman"/>
                      <w:color w:val="auto"/>
                      <w:highlight w:val="none"/>
                      <w:lang w:val="en-US" w:eastAsia="zh-CN"/>
                    </w:rPr>
                    <w:t>；</w:t>
                  </w:r>
                  <w:r>
                    <w:rPr>
                      <w:rFonts w:hint="default" w:ascii="Times New Roman" w:hAnsi="Times New Roman" w:cs="Times New Roman"/>
                      <w:color w:val="auto"/>
                      <w:sz w:val="21"/>
                      <w:szCs w:val="21"/>
                      <w:highlight w:val="none"/>
                      <w:lang w:val="en-US" w:eastAsia="zh-CN"/>
                    </w:rPr>
                    <w:t>实验室废气经</w:t>
                  </w:r>
                  <w:r>
                    <w:rPr>
                      <w:rFonts w:hint="eastAsia" w:cs="Times New Roman"/>
                      <w:color w:val="auto"/>
                      <w:sz w:val="21"/>
                      <w:szCs w:val="21"/>
                      <w:highlight w:val="none"/>
                      <w:lang w:val="en-US" w:eastAsia="zh-CN"/>
                    </w:rPr>
                    <w:t>通风橱+碱式喷淋塔+二级活性炭吸附装置</w:t>
                  </w:r>
                  <w:r>
                    <w:rPr>
                      <w:rFonts w:hint="default" w:ascii="Times New Roman" w:hAnsi="Times New Roman" w:cs="Times New Roman"/>
                      <w:color w:val="auto"/>
                      <w:sz w:val="21"/>
                      <w:szCs w:val="21"/>
                      <w:highlight w:val="none"/>
                      <w:lang w:val="en-US" w:eastAsia="zh-CN"/>
                    </w:rPr>
                    <w:t>处理后由</w:t>
                  </w:r>
                  <w:r>
                    <w:rPr>
                      <w:rFonts w:hint="eastAsia" w:ascii="Times New Roman" w:hAnsi="Times New Roman" w:cs="Times New Roman"/>
                      <w:color w:val="auto"/>
                      <w:sz w:val="21"/>
                      <w:szCs w:val="21"/>
                      <w:highlight w:val="none"/>
                      <w:lang w:val="en-US" w:eastAsia="zh-CN"/>
                    </w:rPr>
                    <w:t>41米高</w:t>
                  </w:r>
                  <w:r>
                    <w:rPr>
                      <w:rFonts w:hint="default" w:ascii="Times New Roman" w:hAnsi="Times New Roman" w:cs="Times New Roman"/>
                      <w:color w:val="auto"/>
                      <w:sz w:val="21"/>
                      <w:szCs w:val="21"/>
                      <w:highlight w:val="none"/>
                      <w:lang w:val="en-US" w:eastAsia="zh-CN"/>
                    </w:rPr>
                    <w:t>排气筒DA001排放</w:t>
                  </w:r>
                  <w:r>
                    <w:rPr>
                      <w:rFonts w:hint="default" w:ascii="Times New Roman" w:hAnsi="Times New Roman" w:eastAsia="宋体" w:cs="Times New Roman"/>
                      <w:color w:val="auto"/>
                      <w:highlight w:val="none"/>
                      <w:lang w:val="en-US" w:eastAsia="zh-CN"/>
                    </w:rPr>
                    <w:t>。</w:t>
                  </w:r>
                  <w:r>
                    <w:rPr>
                      <w:rFonts w:hint="eastAsia" w:cs="Times New Roman"/>
                      <w:snapToGrid/>
                      <w:color w:val="auto"/>
                      <w:kern w:val="0"/>
                      <w:sz w:val="21"/>
                      <w:szCs w:val="21"/>
                      <w:highlight w:val="none"/>
                      <w:lang w:val="en-US" w:eastAsia="zh-CN" w:bidi="ar"/>
                    </w:rPr>
                    <w:t>环保设备</w:t>
                  </w:r>
                  <w:r>
                    <w:rPr>
                      <w:rFonts w:hint="default" w:ascii="Times New Roman" w:hAnsi="Times New Roman" w:eastAsia="宋体" w:cs="Times New Roman"/>
                      <w:snapToGrid/>
                      <w:color w:val="auto"/>
                      <w:kern w:val="0"/>
                      <w:sz w:val="21"/>
                      <w:szCs w:val="21"/>
                      <w:highlight w:val="none"/>
                      <w:lang w:val="en-US" w:eastAsia="zh-CN" w:bidi="ar"/>
                    </w:rPr>
                    <w:t>因维修、故障等原因不能正常使用的，立即停产，待</w:t>
                  </w:r>
                  <w:r>
                    <w:rPr>
                      <w:rFonts w:hint="eastAsia" w:cs="Times New Roman"/>
                      <w:snapToGrid/>
                      <w:color w:val="auto"/>
                      <w:kern w:val="0"/>
                      <w:sz w:val="21"/>
                      <w:szCs w:val="21"/>
                      <w:highlight w:val="none"/>
                      <w:lang w:val="en-US" w:eastAsia="zh-CN" w:bidi="ar"/>
                    </w:rPr>
                    <w:t>环保设备</w:t>
                  </w:r>
                  <w:r>
                    <w:rPr>
                      <w:rFonts w:hint="default" w:ascii="Times New Roman" w:hAnsi="Times New Roman" w:eastAsia="宋体" w:cs="Times New Roman"/>
                      <w:snapToGrid/>
                      <w:color w:val="auto"/>
                      <w:kern w:val="0"/>
                      <w:sz w:val="21"/>
                      <w:szCs w:val="21"/>
                      <w:highlight w:val="none"/>
                      <w:lang w:val="en-US" w:eastAsia="zh-CN" w:bidi="ar"/>
                    </w:rPr>
                    <w:t>可正常使用时才可恢复正常生产。</w:t>
                  </w:r>
                </w:p>
              </w:tc>
              <w:tc>
                <w:tcPr>
                  <w:tcW w:w="212" w:type="pct"/>
                  <w:noWrap w:val="0"/>
                  <w:vAlign w:val="center"/>
                </w:tcPr>
                <w:p w14:paraId="44AF0BA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contextualSpacing/>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291E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continue"/>
                  <w:noWrap w:val="0"/>
                  <w:vAlign w:val="center"/>
                </w:tcPr>
                <w:p w14:paraId="2217D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tc>
              <w:tc>
                <w:tcPr>
                  <w:tcW w:w="2282" w:type="pct"/>
                  <w:noWrap w:val="0"/>
                  <w:vAlign w:val="center"/>
                </w:tcPr>
                <w:p w14:paraId="69E23924">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第二十七条向大气排放污染物的单位应当按照有关规定设置监测点位和采样监测平台，对其所排放的大气污染物进行自行监测或者委托有环境监测资质的单位监测。原始监测记录至少保存三年。</w:t>
                  </w:r>
                </w:p>
              </w:tc>
              <w:tc>
                <w:tcPr>
                  <w:tcW w:w="1300" w:type="pct"/>
                  <w:noWrap w:val="0"/>
                  <w:vAlign w:val="center"/>
                </w:tcPr>
                <w:p w14:paraId="38796A6E">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企业</w:t>
                  </w:r>
                  <w:r>
                    <w:rPr>
                      <w:rFonts w:hint="eastAsia" w:cs="Times New Roman"/>
                      <w:snapToGrid/>
                      <w:color w:val="auto"/>
                      <w:kern w:val="0"/>
                      <w:sz w:val="21"/>
                      <w:szCs w:val="21"/>
                      <w:highlight w:val="none"/>
                      <w:lang w:val="en-US" w:eastAsia="zh-CN" w:bidi="ar"/>
                    </w:rPr>
                    <w:t>将按照有关规定设置监测点位及采样监测平台</w:t>
                  </w:r>
                  <w:r>
                    <w:rPr>
                      <w:rFonts w:hint="eastAsia"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按照环评自行监测的要求，委托有环境监测资质的单位进行监测，并将原始监测记录至少保存五年。</w:t>
                  </w:r>
                </w:p>
              </w:tc>
              <w:tc>
                <w:tcPr>
                  <w:tcW w:w="212" w:type="pct"/>
                  <w:noWrap w:val="0"/>
                  <w:vAlign w:val="center"/>
                </w:tcPr>
                <w:p w14:paraId="67114DFD">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符合</w:t>
                  </w:r>
                </w:p>
              </w:tc>
            </w:tr>
            <w:tr w14:paraId="0E73C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noWrap w:val="0"/>
                  <w:vAlign w:val="center"/>
                </w:tcPr>
                <w:p w14:paraId="27751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《西安市机动车和非道路移动机械排气污染防治条例》</w:t>
                  </w:r>
                </w:p>
              </w:tc>
              <w:tc>
                <w:tcPr>
                  <w:tcW w:w="2282" w:type="pct"/>
                  <w:noWrap w:val="0"/>
                  <w:vAlign w:val="center"/>
                </w:tcPr>
                <w:p w14:paraId="2B75CA9F">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非道路移动机械所有人或者使用人不得闲置、拆除、破坏、非法改装污染控制装置或者采取临时更换、加装污染控制装置等弄虚作假方式进行污染物排放检验，依法接受相关的监督管理。</w:t>
                  </w:r>
                </w:p>
              </w:tc>
              <w:tc>
                <w:tcPr>
                  <w:tcW w:w="1300" w:type="pct"/>
                  <w:noWrap w:val="0"/>
                  <w:vAlign w:val="center"/>
                </w:tcPr>
                <w:p w14:paraId="003425CE">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要求企业不得闲置、拆除、破坏、非法改装污染控制装置或者采取临时更换、加装污染控制装置等弄虚作假方式进行污染物排放检验，并依法接受相关的监督管理。</w:t>
                  </w:r>
                </w:p>
              </w:tc>
              <w:tc>
                <w:tcPr>
                  <w:tcW w:w="212" w:type="pct"/>
                  <w:noWrap w:val="0"/>
                  <w:vAlign w:val="center"/>
                </w:tcPr>
                <w:p w14:paraId="4549A801">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6EF43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restart"/>
                  <w:noWrap w:val="0"/>
                  <w:vAlign w:val="center"/>
                </w:tcPr>
                <w:p w14:paraId="5E1B6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《陕西省</w:t>
                  </w:r>
                  <w:r>
                    <w:rPr>
                      <w:rFonts w:hint="eastAsia" w:ascii="Times New Roman" w:hAnsi="Times New Roman" w:eastAsia="宋体" w:cs="Times New Roman"/>
                      <w:snapToGrid/>
                      <w:color w:val="auto"/>
                      <w:kern w:val="2"/>
                      <w:sz w:val="21"/>
                      <w:szCs w:val="21"/>
                      <w:highlight w:val="none"/>
                      <w:lang w:val="en-US" w:eastAsia="zh-CN"/>
                    </w:rPr>
                    <w:t>“十四五”</w:t>
                  </w:r>
                  <w:r>
                    <w:rPr>
                      <w:rFonts w:hint="default" w:ascii="Times New Roman" w:hAnsi="Times New Roman" w:eastAsia="宋体" w:cs="Times New Roman"/>
                      <w:snapToGrid/>
                      <w:color w:val="auto"/>
                      <w:kern w:val="2"/>
                      <w:sz w:val="21"/>
                      <w:szCs w:val="21"/>
                      <w:highlight w:val="none"/>
                      <w:lang w:val="en-US" w:eastAsia="zh-CN"/>
                    </w:rPr>
                    <w:t>生态环境保护</w:t>
                  </w:r>
                  <w:r>
                    <w:rPr>
                      <w:rFonts w:hint="eastAsia" w:ascii="Times New Roman" w:hAnsi="Times New Roman" w:eastAsia="宋体" w:cs="Times New Roman"/>
                      <w:snapToGrid/>
                      <w:color w:val="auto"/>
                      <w:kern w:val="2"/>
                      <w:sz w:val="21"/>
                      <w:szCs w:val="21"/>
                      <w:highlight w:val="none"/>
                      <w:lang w:val="en-US" w:eastAsia="zh-CN"/>
                    </w:rPr>
                    <w:t>规划</w:t>
                  </w:r>
                  <w:r>
                    <w:rPr>
                      <w:rFonts w:hint="default" w:ascii="Times New Roman" w:hAnsi="Times New Roman" w:eastAsia="宋体" w:cs="Times New Roman"/>
                      <w:snapToGrid/>
                      <w:color w:val="auto"/>
                      <w:kern w:val="2"/>
                      <w:sz w:val="21"/>
                      <w:szCs w:val="21"/>
                      <w:highlight w:val="none"/>
                      <w:lang w:val="en-US" w:eastAsia="zh-CN"/>
                    </w:rPr>
                    <w:t>》（陕政办发[2021]25号）</w:t>
                  </w:r>
                </w:p>
              </w:tc>
              <w:tc>
                <w:tcPr>
                  <w:tcW w:w="2282" w:type="pct"/>
                  <w:noWrap w:val="0"/>
                  <w:vAlign w:val="center"/>
                </w:tcPr>
                <w:p w14:paraId="3A343855">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严格控制焦化、水泥、砖瓦、石灰、耐火材料、有色金属冶炼等行业物料储存、输送及生产工业过程中无组织排放。大型煤炭、矿石、干散货堆场，全面抑尘设施建设和物料输送系统封闭改造。鼓励有条件的堆场实施全封闭改造。</w:t>
                  </w:r>
                </w:p>
              </w:tc>
              <w:tc>
                <w:tcPr>
                  <w:tcW w:w="1300" w:type="pct"/>
                  <w:noWrap w:val="0"/>
                  <w:vAlign w:val="center"/>
                </w:tcPr>
                <w:p w14:paraId="59CDDC39">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项目原辅料全部储存于密闭车间内或仓库内，</w:t>
                  </w:r>
                  <w:r>
                    <w:rPr>
                      <w:rFonts w:hint="eastAsia" w:cs="Times New Roman"/>
                      <w:snapToGrid/>
                      <w:color w:val="auto"/>
                      <w:kern w:val="0"/>
                      <w:sz w:val="21"/>
                      <w:szCs w:val="21"/>
                      <w:highlight w:val="none"/>
                      <w:lang w:val="en-US" w:eastAsia="zh-CN" w:bidi="ar"/>
                    </w:rPr>
                    <w:t>实验试剂</w:t>
                  </w:r>
                  <w:r>
                    <w:rPr>
                      <w:rFonts w:hint="default" w:ascii="Times New Roman" w:hAnsi="Times New Roman" w:eastAsia="宋体" w:cs="Times New Roman"/>
                      <w:color w:val="auto"/>
                      <w:kern w:val="0"/>
                      <w:sz w:val="21"/>
                      <w:szCs w:val="21"/>
                      <w:highlight w:val="none"/>
                      <w:lang w:val="en-US" w:eastAsia="zh-CN" w:bidi="ar"/>
                    </w:rPr>
                    <w:t>在试剂瓶密封</w:t>
                  </w:r>
                  <w:r>
                    <w:rPr>
                      <w:rFonts w:hint="eastAsia" w:cs="Times New Roman"/>
                      <w:color w:val="auto"/>
                      <w:kern w:val="0"/>
                      <w:sz w:val="21"/>
                      <w:szCs w:val="21"/>
                      <w:highlight w:val="none"/>
                      <w:lang w:val="en-US" w:eastAsia="zh-CN" w:bidi="ar"/>
                    </w:rPr>
                    <w:t>贮存</w:t>
                  </w:r>
                  <w:r>
                    <w:rPr>
                      <w:rFonts w:hint="eastAsia"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物料输送为密闭输送。本项目产生的</w:t>
                  </w:r>
                  <w:r>
                    <w:rPr>
                      <w:rFonts w:hint="eastAsia" w:cs="Times New Roman"/>
                      <w:snapToGrid/>
                      <w:color w:val="auto"/>
                      <w:kern w:val="0"/>
                      <w:sz w:val="21"/>
                      <w:szCs w:val="21"/>
                      <w:highlight w:val="none"/>
                      <w:lang w:val="en-US" w:eastAsia="zh-CN" w:bidi="ar"/>
                    </w:rPr>
                    <w:t>废气</w:t>
                  </w:r>
                  <w:r>
                    <w:rPr>
                      <w:rFonts w:hint="default" w:ascii="Times New Roman" w:hAnsi="Times New Roman" w:eastAsia="宋体" w:cs="Times New Roman"/>
                      <w:snapToGrid/>
                      <w:color w:val="auto"/>
                      <w:kern w:val="0"/>
                      <w:sz w:val="21"/>
                      <w:szCs w:val="21"/>
                      <w:highlight w:val="none"/>
                      <w:lang w:val="en-US" w:eastAsia="zh-CN" w:bidi="ar"/>
                    </w:rPr>
                    <w:t>为焊接烟尘</w:t>
                  </w:r>
                  <w:r>
                    <w:rPr>
                      <w:rFonts w:hint="eastAsia" w:cs="Times New Roman"/>
                      <w:snapToGrid/>
                      <w:color w:val="auto"/>
                      <w:kern w:val="0"/>
                      <w:sz w:val="21"/>
                      <w:szCs w:val="21"/>
                      <w:highlight w:val="none"/>
                      <w:lang w:val="en-US" w:eastAsia="zh-CN" w:bidi="ar"/>
                    </w:rPr>
                    <w:t>及实验室废气</w:t>
                  </w:r>
                  <w:r>
                    <w:rPr>
                      <w:rFonts w:hint="default" w:ascii="Times New Roman" w:hAnsi="Times New Roman" w:eastAsia="宋体" w:cs="Times New Roman"/>
                      <w:snapToGrid/>
                      <w:color w:val="auto"/>
                      <w:kern w:val="0"/>
                      <w:sz w:val="21"/>
                      <w:szCs w:val="21"/>
                      <w:highlight w:val="none"/>
                      <w:lang w:val="en-US" w:eastAsia="zh-CN" w:bidi="ar"/>
                    </w:rPr>
                    <w:t>，焊接烟尘经设备自带的焊烟净化器处理后无组织排放；</w:t>
                  </w:r>
                  <w:r>
                    <w:rPr>
                      <w:rFonts w:hint="default" w:ascii="Times New Roman" w:hAnsi="Times New Roman" w:cs="Times New Roman"/>
                      <w:color w:val="auto"/>
                      <w:sz w:val="21"/>
                      <w:szCs w:val="21"/>
                      <w:highlight w:val="none"/>
                      <w:lang w:val="en-US" w:eastAsia="zh-CN"/>
                    </w:rPr>
                    <w:t>实验室废气经</w:t>
                  </w:r>
                  <w:r>
                    <w:rPr>
                      <w:rFonts w:hint="eastAsia" w:cs="Times New Roman"/>
                      <w:color w:val="auto"/>
                      <w:sz w:val="21"/>
                      <w:szCs w:val="21"/>
                      <w:highlight w:val="none"/>
                      <w:lang w:val="en-US" w:eastAsia="zh-CN"/>
                    </w:rPr>
                    <w:t>通风橱+碱式喷淋塔+二级活性炭吸附装置</w:t>
                  </w:r>
                  <w:r>
                    <w:rPr>
                      <w:rFonts w:hint="default" w:ascii="Times New Roman" w:hAnsi="Times New Roman" w:cs="Times New Roman"/>
                      <w:color w:val="auto"/>
                      <w:sz w:val="21"/>
                      <w:szCs w:val="21"/>
                      <w:highlight w:val="none"/>
                      <w:lang w:val="en-US" w:eastAsia="zh-CN"/>
                    </w:rPr>
                    <w:t>处理后由</w:t>
                  </w:r>
                  <w:r>
                    <w:rPr>
                      <w:rFonts w:hint="eastAsia" w:ascii="Times New Roman" w:hAnsi="Times New Roman" w:cs="Times New Roman"/>
                      <w:color w:val="auto"/>
                      <w:sz w:val="21"/>
                      <w:szCs w:val="21"/>
                      <w:highlight w:val="none"/>
                      <w:lang w:val="en-US" w:eastAsia="zh-CN"/>
                    </w:rPr>
                    <w:t>41米高</w:t>
                  </w:r>
                  <w:r>
                    <w:rPr>
                      <w:rFonts w:hint="default" w:ascii="Times New Roman" w:hAnsi="Times New Roman" w:cs="Times New Roman"/>
                      <w:color w:val="auto"/>
                      <w:sz w:val="21"/>
                      <w:szCs w:val="21"/>
                      <w:highlight w:val="none"/>
                      <w:lang w:val="en-US" w:eastAsia="zh-CN"/>
                    </w:rPr>
                    <w:t>排气筒DA001排放</w:t>
                  </w:r>
                  <w:r>
                    <w:rPr>
                      <w:rFonts w:hint="default" w:ascii="Times New Roman" w:hAnsi="Times New Roman" w:eastAsia="宋体" w:cs="Times New Roman"/>
                      <w:snapToGrid/>
                      <w:color w:val="auto"/>
                      <w:kern w:val="0"/>
                      <w:sz w:val="21"/>
                      <w:szCs w:val="21"/>
                      <w:highlight w:val="none"/>
                      <w:lang w:val="en-US" w:eastAsia="zh-CN" w:bidi="ar"/>
                    </w:rPr>
                    <w:t>。</w:t>
                  </w:r>
                </w:p>
              </w:tc>
              <w:tc>
                <w:tcPr>
                  <w:tcW w:w="212" w:type="pct"/>
                  <w:noWrap w:val="0"/>
                  <w:vAlign w:val="center"/>
                </w:tcPr>
                <w:p w14:paraId="3734BED2">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4FBD3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continue"/>
                  <w:noWrap w:val="0"/>
                  <w:vAlign w:val="center"/>
                </w:tcPr>
                <w:p w14:paraId="7C1C3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tc>
              <w:tc>
                <w:tcPr>
                  <w:tcW w:w="2282" w:type="pct"/>
                  <w:noWrap w:val="0"/>
                  <w:vAlign w:val="center"/>
                </w:tcPr>
                <w:p w14:paraId="74F2F54C">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坚持源头防治、综合施策，稳步推进大气污染防治攻坚行动，聚焦细颗粒物和臭氧污染协同控制，推进氮氧化物和挥发性有机物协调减排，强化区域协调治理和重污染天气应对，持续改善全省大气环境质量</w:t>
                  </w:r>
                  <w:r>
                    <w:rPr>
                      <w:rFonts w:hint="eastAsia" w:ascii="Times New Roman" w:hAnsi="Times New Roman" w:eastAsia="宋体" w:cs="Times New Roman"/>
                      <w:snapToGrid/>
                      <w:color w:val="auto"/>
                      <w:kern w:val="0"/>
                      <w:sz w:val="21"/>
                      <w:szCs w:val="21"/>
                      <w:highlight w:val="none"/>
                      <w:lang w:val="en-US" w:eastAsia="zh-CN" w:bidi="ar"/>
                    </w:rPr>
                    <w:t>。</w:t>
                  </w:r>
                </w:p>
              </w:tc>
              <w:tc>
                <w:tcPr>
                  <w:tcW w:w="1300" w:type="pct"/>
                  <w:noWrap w:val="0"/>
                  <w:vAlign w:val="center"/>
                </w:tcPr>
                <w:p w14:paraId="5A45120B">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eastAsia" w:ascii="Times New Roman" w:hAnsi="Times New Roman" w:eastAsia="宋体" w:cs="Times New Roman"/>
                      <w:snapToGrid/>
                      <w:color w:val="auto"/>
                      <w:kern w:val="0"/>
                      <w:sz w:val="21"/>
                      <w:szCs w:val="21"/>
                      <w:highlight w:val="none"/>
                      <w:lang w:val="en-US" w:eastAsia="zh-CN" w:bidi="ar"/>
                    </w:rPr>
                    <w:t>本项目</w:t>
                  </w:r>
                  <w:r>
                    <w:rPr>
                      <w:rFonts w:hint="default" w:ascii="Times New Roman" w:hAnsi="Times New Roman" w:eastAsia="宋体" w:cs="Times New Roman"/>
                      <w:snapToGrid/>
                      <w:color w:val="auto"/>
                      <w:kern w:val="0"/>
                      <w:sz w:val="21"/>
                      <w:szCs w:val="21"/>
                      <w:highlight w:val="none"/>
                      <w:lang w:val="en-US" w:eastAsia="zh-CN" w:bidi="ar"/>
                    </w:rPr>
                    <w:t>实验室废气经</w:t>
                  </w:r>
                  <w:r>
                    <w:rPr>
                      <w:rFonts w:hint="eastAsia" w:cs="Times New Roman"/>
                      <w:snapToGrid/>
                      <w:color w:val="auto"/>
                      <w:kern w:val="0"/>
                      <w:sz w:val="21"/>
                      <w:szCs w:val="21"/>
                      <w:highlight w:val="none"/>
                      <w:lang w:val="en-US" w:eastAsia="zh-CN" w:bidi="ar"/>
                    </w:rPr>
                    <w:t>通风橱+碱式喷淋塔+二级活性炭吸附装置</w:t>
                  </w:r>
                  <w:r>
                    <w:rPr>
                      <w:rFonts w:hint="default" w:ascii="Times New Roman" w:hAnsi="Times New Roman" w:eastAsia="宋体" w:cs="Times New Roman"/>
                      <w:snapToGrid/>
                      <w:color w:val="auto"/>
                      <w:kern w:val="0"/>
                      <w:sz w:val="21"/>
                      <w:szCs w:val="21"/>
                      <w:highlight w:val="none"/>
                      <w:lang w:val="en-US" w:eastAsia="zh-CN" w:bidi="ar"/>
                    </w:rPr>
                    <w:t>处理后由</w:t>
                  </w:r>
                  <w:r>
                    <w:rPr>
                      <w:rFonts w:hint="eastAsia" w:ascii="Times New Roman" w:hAnsi="Times New Roman" w:eastAsia="宋体" w:cs="Times New Roman"/>
                      <w:snapToGrid/>
                      <w:color w:val="auto"/>
                      <w:kern w:val="0"/>
                      <w:sz w:val="21"/>
                      <w:szCs w:val="21"/>
                      <w:highlight w:val="none"/>
                      <w:lang w:val="en-US" w:eastAsia="zh-CN" w:bidi="ar"/>
                    </w:rPr>
                    <w:t>41米高</w:t>
                  </w:r>
                  <w:r>
                    <w:rPr>
                      <w:rFonts w:hint="default" w:ascii="Times New Roman" w:hAnsi="Times New Roman" w:eastAsia="宋体" w:cs="Times New Roman"/>
                      <w:snapToGrid/>
                      <w:color w:val="auto"/>
                      <w:kern w:val="0"/>
                      <w:sz w:val="21"/>
                      <w:szCs w:val="21"/>
                      <w:highlight w:val="none"/>
                      <w:lang w:val="en-US" w:eastAsia="zh-CN" w:bidi="ar"/>
                    </w:rPr>
                    <w:t>排气筒DA001排放</w:t>
                  </w:r>
                  <w:r>
                    <w:rPr>
                      <w:rFonts w:hint="eastAsia" w:ascii="Times New Roman" w:hAnsi="Times New Roman" w:eastAsia="宋体" w:cs="Times New Roman"/>
                      <w:snapToGrid/>
                      <w:color w:val="auto"/>
                      <w:kern w:val="0"/>
                      <w:sz w:val="21"/>
                      <w:szCs w:val="21"/>
                      <w:highlight w:val="none"/>
                      <w:lang w:val="en-US" w:eastAsia="zh-CN" w:bidi="ar"/>
                    </w:rPr>
                    <w:t>。</w:t>
                  </w:r>
                </w:p>
              </w:tc>
              <w:tc>
                <w:tcPr>
                  <w:tcW w:w="212" w:type="pct"/>
                  <w:noWrap w:val="0"/>
                  <w:vAlign w:val="center"/>
                </w:tcPr>
                <w:p w14:paraId="6AC5365C">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14:paraId="10E7D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restart"/>
                  <w:noWrap w:val="0"/>
                  <w:vAlign w:val="center"/>
                </w:tcPr>
                <w:p w14:paraId="0BC90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《陕西省大气污染治理专项行动方案（2023-2027）》</w:t>
                  </w:r>
                </w:p>
              </w:tc>
              <w:tc>
                <w:tcPr>
                  <w:tcW w:w="2282" w:type="pct"/>
                  <w:noWrap w:val="0"/>
                  <w:vAlign w:val="center"/>
                </w:tcPr>
                <w:p w14:paraId="3FE63C65">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能源消费结构调整。到2025年，电能在终端能源消费中的比重提高到27%以上。积极发展非化石能源，关中地区到2025年实现煤炭消费负增长。</w:t>
                  </w:r>
                </w:p>
              </w:tc>
              <w:tc>
                <w:tcPr>
                  <w:tcW w:w="1300" w:type="pct"/>
                  <w:noWrap w:val="0"/>
                  <w:vAlign w:val="center"/>
                </w:tcPr>
                <w:p w14:paraId="3809DC39">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本项目使用电能作为能源，不使用煤炭。</w:t>
                  </w:r>
                </w:p>
              </w:tc>
              <w:tc>
                <w:tcPr>
                  <w:tcW w:w="212" w:type="pct"/>
                  <w:noWrap w:val="0"/>
                  <w:vAlign w:val="center"/>
                </w:tcPr>
                <w:p w14:paraId="24752D9E">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5AC50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continue"/>
                  <w:noWrap w:val="0"/>
                  <w:vAlign w:val="center"/>
                </w:tcPr>
                <w:p w14:paraId="0F6A97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tc>
              <w:tc>
                <w:tcPr>
                  <w:tcW w:w="2282" w:type="pct"/>
                  <w:noWrap w:val="0"/>
                  <w:vAlign w:val="center"/>
                </w:tcPr>
                <w:p w14:paraId="4ED58685">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关中地区严禁新增钢铁、焦化、水泥熟料、平板玻璃、电解铝、氧化铝、煤化工产能，合理控制煤制油气产能规模，严控新增炼油产能。</w:t>
                  </w:r>
                </w:p>
              </w:tc>
              <w:tc>
                <w:tcPr>
                  <w:tcW w:w="1300" w:type="pct"/>
                  <w:noWrap w:val="0"/>
                  <w:vAlign w:val="center"/>
                </w:tcPr>
                <w:p w14:paraId="5302863B">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本项目属于有色金属压延加工项目，不属于钢铁、焦化、水泥熟料、平板玻璃、电解铝、氧化铝、煤化工项目。</w:t>
                  </w:r>
                </w:p>
              </w:tc>
              <w:tc>
                <w:tcPr>
                  <w:tcW w:w="212" w:type="pct"/>
                  <w:noWrap w:val="0"/>
                  <w:vAlign w:val="center"/>
                </w:tcPr>
                <w:p w14:paraId="33074218">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623B4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continue"/>
                  <w:noWrap w:val="0"/>
                  <w:vAlign w:val="center"/>
                </w:tcPr>
                <w:p w14:paraId="52A47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tc>
              <w:tc>
                <w:tcPr>
                  <w:tcW w:w="2282" w:type="pct"/>
                  <w:noWrap w:val="0"/>
                  <w:vAlign w:val="center"/>
                </w:tcPr>
                <w:p w14:paraId="1616D67E">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关中地区市辖区及开发区范围内新、改、扩建涉气重点行业企业应达到环保绩效A级、绩效引领性水平，西安市咸阳市、渭南市的其他区域应达到环保绩效B级及以上水平。</w:t>
                  </w:r>
                </w:p>
              </w:tc>
              <w:tc>
                <w:tcPr>
                  <w:tcW w:w="1300" w:type="pct"/>
                  <w:noWrap w:val="0"/>
                  <w:vAlign w:val="center"/>
                </w:tcPr>
                <w:p w14:paraId="0148AD99">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根据《重污染天气重点行业应急减排措施制定技术指南》（2020年修订版）查询，</w:t>
                  </w:r>
                  <w:r>
                    <w:rPr>
                      <w:rFonts w:hint="eastAsia" w:cs="Times New Roman"/>
                      <w:snapToGrid/>
                      <w:color w:val="auto"/>
                      <w:kern w:val="0"/>
                      <w:sz w:val="21"/>
                      <w:szCs w:val="21"/>
                      <w:highlight w:val="none"/>
                      <w:lang w:val="en-US" w:eastAsia="zh-CN" w:bidi="ar"/>
                    </w:rPr>
                    <w:t>重点行业中</w:t>
                  </w:r>
                  <w:r>
                    <w:rPr>
                      <w:rFonts w:hint="default" w:ascii="Times New Roman" w:hAnsi="Times New Roman" w:eastAsia="宋体" w:cs="Times New Roman"/>
                      <w:snapToGrid/>
                      <w:color w:val="auto"/>
                      <w:kern w:val="0"/>
                      <w:sz w:val="21"/>
                      <w:szCs w:val="21"/>
                      <w:highlight w:val="none"/>
                      <w:lang w:val="en-US" w:eastAsia="zh-CN" w:bidi="ar"/>
                    </w:rPr>
                    <w:t>有色金属压延适用范围为铜压延加工和铝压延加工的企业，</w:t>
                  </w:r>
                  <w:r>
                    <w:rPr>
                      <w:rFonts w:hint="eastAsia" w:cs="Times New Roman"/>
                      <w:snapToGrid/>
                      <w:color w:val="auto"/>
                      <w:kern w:val="0"/>
                      <w:sz w:val="21"/>
                      <w:szCs w:val="21"/>
                      <w:highlight w:val="none"/>
                      <w:lang w:val="en-US" w:eastAsia="zh-CN" w:bidi="ar"/>
                    </w:rPr>
                    <w:t>本项目为</w:t>
                  </w:r>
                  <w:r>
                    <w:rPr>
                      <w:rFonts w:hint="default" w:ascii="Times New Roman" w:hAnsi="Times New Roman" w:eastAsia="宋体" w:cs="Times New Roman"/>
                      <w:snapToGrid/>
                      <w:color w:val="auto"/>
                      <w:kern w:val="0"/>
                      <w:sz w:val="21"/>
                      <w:szCs w:val="21"/>
                      <w:highlight w:val="none"/>
                      <w:lang w:val="en-US" w:eastAsia="zh-CN" w:bidi="ar"/>
                    </w:rPr>
                    <w:t>钛材压延加工企业</w:t>
                  </w:r>
                  <w:r>
                    <w:rPr>
                      <w:rFonts w:hint="eastAsia" w:cs="Times New Roman"/>
                      <w:snapToGrid/>
                      <w:color w:val="auto"/>
                      <w:kern w:val="0"/>
                      <w:sz w:val="21"/>
                      <w:szCs w:val="21"/>
                      <w:highlight w:val="none"/>
                      <w:lang w:val="en-US" w:eastAsia="zh-CN" w:bidi="ar"/>
                    </w:rPr>
                    <w:t>，故本项目不属于重点行业</w:t>
                  </w:r>
                  <w:r>
                    <w:rPr>
                      <w:rFonts w:hint="default" w:ascii="Times New Roman" w:hAnsi="Times New Roman" w:eastAsia="宋体" w:cs="Times New Roman"/>
                      <w:color w:val="auto"/>
                      <w:kern w:val="0"/>
                      <w:sz w:val="21"/>
                      <w:szCs w:val="21"/>
                      <w:highlight w:val="none"/>
                      <w:lang w:val="en-US" w:eastAsia="zh-CN" w:bidi="ar"/>
                    </w:rPr>
                    <w:t>，不需要编制绩效篇章。</w:t>
                  </w:r>
                </w:p>
              </w:tc>
              <w:tc>
                <w:tcPr>
                  <w:tcW w:w="212" w:type="pct"/>
                  <w:noWrap w:val="0"/>
                  <w:vAlign w:val="center"/>
                </w:tcPr>
                <w:p w14:paraId="105632D7">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319D4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restart"/>
                  <w:noWrap w:val="0"/>
                  <w:vAlign w:val="center"/>
                </w:tcPr>
                <w:p w14:paraId="60CA2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《西安市大气污染治理专项行动方案（2023-2027年）》</w:t>
                  </w:r>
                </w:p>
              </w:tc>
              <w:tc>
                <w:tcPr>
                  <w:tcW w:w="2282" w:type="pct"/>
                  <w:noWrap w:val="0"/>
                  <w:vAlign w:val="center"/>
                </w:tcPr>
                <w:p w14:paraId="4485F500">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p>
                <w:p w14:paraId="5C1D1D11">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强化工地扬尘管控，加强建筑垃圾清运作业项目和在建工地施工扬尘精细化管控。建立动态管理清单，全面落实</w:t>
                  </w:r>
                  <w:r>
                    <w:rPr>
                      <w:rFonts w:hint="eastAsia" w:ascii="Times New Roman" w:hAnsi="Times New Roman" w:eastAsia="宋体"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六个百分百</w:t>
                  </w:r>
                  <w:r>
                    <w:rPr>
                      <w:rFonts w:hint="eastAsia" w:ascii="Times New Roman" w:hAnsi="Times New Roman" w:eastAsia="宋体"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七个到位</w:t>
                  </w:r>
                  <w:r>
                    <w:rPr>
                      <w:rFonts w:hint="eastAsia" w:ascii="Times New Roman" w:hAnsi="Times New Roman" w:eastAsia="宋体"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要求，强化酒水抑尘，增加作业车辆和机械冲洗次数，防止带泥行驶。</w:t>
                  </w:r>
                </w:p>
              </w:tc>
              <w:tc>
                <w:tcPr>
                  <w:tcW w:w="1300" w:type="pct"/>
                  <w:noWrap w:val="0"/>
                  <w:vAlign w:val="center"/>
                </w:tcPr>
                <w:p w14:paraId="4118151A">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本项目施工期全面落实</w:t>
                  </w:r>
                  <w:r>
                    <w:rPr>
                      <w:rFonts w:hint="eastAsia" w:ascii="Times New Roman" w:hAnsi="Times New Roman" w:eastAsia="宋体"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六个百分百</w:t>
                  </w:r>
                  <w:r>
                    <w:rPr>
                      <w:rFonts w:hint="eastAsia" w:ascii="Times New Roman" w:hAnsi="Times New Roman" w:eastAsia="宋体"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七个到位</w:t>
                  </w:r>
                  <w:r>
                    <w:rPr>
                      <w:rFonts w:hint="eastAsia" w:ascii="Times New Roman" w:hAnsi="Times New Roman" w:eastAsia="宋体"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要求，强化酒水抑尘，增加作业车辆和机械冲洗次数，防止带泥行驶，施工厂界围挡洒水，施工区主要进出口设置洗车台等措施</w:t>
                  </w:r>
                </w:p>
              </w:tc>
              <w:tc>
                <w:tcPr>
                  <w:tcW w:w="212" w:type="pct"/>
                  <w:noWrap w:val="0"/>
                  <w:vAlign w:val="center"/>
                </w:tcPr>
                <w:p w14:paraId="189E9D86">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6E9F0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continue"/>
                  <w:noWrap w:val="0"/>
                  <w:vAlign w:val="center"/>
                </w:tcPr>
                <w:p w14:paraId="3CB8C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tc>
              <w:tc>
                <w:tcPr>
                  <w:tcW w:w="2282" w:type="pct"/>
                  <w:noWrap w:val="0"/>
                  <w:vAlign w:val="center"/>
                </w:tcPr>
                <w:p w14:paraId="10D2F1A4">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加强物料堆场扬尘管控。针对铸造、铁合金、焦化、水泥、砖瓦、石灰、耐火材料、有色金属冶炼等行业，严格控制物料储存、输送及生产工艺过程无组织排放</w:t>
                  </w:r>
                  <w:r>
                    <w:rPr>
                      <w:rFonts w:hint="eastAsia"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对粉粒类物料堆放场以及大型煤炭和矿石物料堆场，基本完成抑尘设施建设和物料输送系统封闭改造。严禁露天装卸作业和物料干法作业。</w:t>
                  </w:r>
                </w:p>
              </w:tc>
              <w:tc>
                <w:tcPr>
                  <w:tcW w:w="1300" w:type="pct"/>
                  <w:noWrap w:val="0"/>
                  <w:vAlign w:val="center"/>
                </w:tcPr>
                <w:p w14:paraId="7CB0A920">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本项目原料输送过程中全部密闭，原料的储存为封闭库房无露天堆放。</w:t>
                  </w:r>
                </w:p>
              </w:tc>
              <w:tc>
                <w:tcPr>
                  <w:tcW w:w="212" w:type="pct"/>
                  <w:noWrap w:val="0"/>
                  <w:vAlign w:val="center"/>
                </w:tcPr>
                <w:p w14:paraId="65F5F52B">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71AA2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continue"/>
                  <w:noWrap w:val="0"/>
                  <w:vAlign w:val="center"/>
                </w:tcPr>
                <w:p w14:paraId="144E9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tc>
              <w:tc>
                <w:tcPr>
                  <w:tcW w:w="2282" w:type="pct"/>
                  <w:noWrap w:val="0"/>
                  <w:vAlign w:val="center"/>
                </w:tcPr>
                <w:p w14:paraId="3DBEB835">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各区、开发区范围内新改扩建涉气重点行业企业应达到环保绩效A级、绩效引领性水平，周至县、蓝田县应达到环保绩效B级及以上水平。</w:t>
                  </w:r>
                </w:p>
              </w:tc>
              <w:tc>
                <w:tcPr>
                  <w:tcW w:w="1300" w:type="pct"/>
                  <w:noWrap w:val="0"/>
                  <w:vAlign w:val="center"/>
                </w:tcPr>
                <w:p w14:paraId="3A2A13AF">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根据《重污染天气重点行业应急减排措施制定技术指南》（2020年修订版）查询，</w:t>
                  </w:r>
                  <w:r>
                    <w:rPr>
                      <w:rFonts w:hint="eastAsia" w:cs="Times New Roman"/>
                      <w:snapToGrid/>
                      <w:color w:val="auto"/>
                      <w:kern w:val="0"/>
                      <w:sz w:val="21"/>
                      <w:szCs w:val="21"/>
                      <w:highlight w:val="none"/>
                      <w:lang w:val="en-US" w:eastAsia="zh-CN" w:bidi="ar"/>
                    </w:rPr>
                    <w:t>重点行业中</w:t>
                  </w:r>
                  <w:r>
                    <w:rPr>
                      <w:rFonts w:hint="default" w:ascii="Times New Roman" w:hAnsi="Times New Roman" w:eastAsia="宋体" w:cs="Times New Roman"/>
                      <w:snapToGrid/>
                      <w:color w:val="auto"/>
                      <w:kern w:val="0"/>
                      <w:sz w:val="21"/>
                      <w:szCs w:val="21"/>
                      <w:highlight w:val="none"/>
                      <w:lang w:val="en-US" w:eastAsia="zh-CN" w:bidi="ar"/>
                    </w:rPr>
                    <w:t>有色金属压延适用范围为铜压延加工和铝压延加工的企业，</w:t>
                  </w:r>
                  <w:r>
                    <w:rPr>
                      <w:rFonts w:hint="eastAsia" w:cs="Times New Roman"/>
                      <w:snapToGrid/>
                      <w:color w:val="auto"/>
                      <w:kern w:val="0"/>
                      <w:sz w:val="21"/>
                      <w:szCs w:val="21"/>
                      <w:highlight w:val="none"/>
                      <w:lang w:val="en-US" w:eastAsia="zh-CN" w:bidi="ar"/>
                    </w:rPr>
                    <w:t>本项目为</w:t>
                  </w:r>
                  <w:r>
                    <w:rPr>
                      <w:rFonts w:hint="default" w:ascii="Times New Roman" w:hAnsi="Times New Roman" w:eastAsia="宋体" w:cs="Times New Roman"/>
                      <w:snapToGrid/>
                      <w:color w:val="auto"/>
                      <w:kern w:val="0"/>
                      <w:sz w:val="21"/>
                      <w:szCs w:val="21"/>
                      <w:highlight w:val="none"/>
                      <w:lang w:val="en-US" w:eastAsia="zh-CN" w:bidi="ar"/>
                    </w:rPr>
                    <w:t>钛材压延加工企业</w:t>
                  </w:r>
                  <w:r>
                    <w:rPr>
                      <w:rFonts w:hint="eastAsia" w:cs="Times New Roman"/>
                      <w:snapToGrid/>
                      <w:color w:val="auto"/>
                      <w:kern w:val="0"/>
                      <w:sz w:val="21"/>
                      <w:szCs w:val="21"/>
                      <w:highlight w:val="none"/>
                      <w:lang w:val="en-US" w:eastAsia="zh-CN" w:bidi="ar"/>
                    </w:rPr>
                    <w:t>，故本项目不属于重点行业</w:t>
                  </w:r>
                  <w:r>
                    <w:rPr>
                      <w:rFonts w:hint="default" w:ascii="Times New Roman" w:hAnsi="Times New Roman" w:eastAsia="宋体" w:cs="Times New Roman"/>
                      <w:color w:val="auto"/>
                      <w:kern w:val="0"/>
                      <w:sz w:val="21"/>
                      <w:szCs w:val="21"/>
                      <w:highlight w:val="none"/>
                      <w:lang w:val="en-US" w:eastAsia="zh-CN" w:bidi="ar"/>
                    </w:rPr>
                    <w:t>，不需要编制绩效篇章。</w:t>
                  </w:r>
                </w:p>
              </w:tc>
              <w:tc>
                <w:tcPr>
                  <w:tcW w:w="212" w:type="pct"/>
                  <w:noWrap w:val="0"/>
                  <w:vAlign w:val="center"/>
                </w:tcPr>
                <w:p w14:paraId="55291EB8">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41B2C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noWrap w:val="0"/>
                  <w:vAlign w:val="center"/>
                </w:tcPr>
                <w:p w14:paraId="1E15513F">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rightChars="0"/>
                    <w:jc w:val="both"/>
                    <w:textAlignment w:val="auto"/>
                    <w:outlineLvl w:val="9"/>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《西安市人民政府关于印发西安市空气质量达标规划（2023-2030年）的通知》（市政发〔2023〕10号）</w:t>
                  </w:r>
                </w:p>
              </w:tc>
              <w:tc>
                <w:tcPr>
                  <w:tcW w:w="2282" w:type="pct"/>
                  <w:noWrap w:val="0"/>
                  <w:vAlign w:val="center"/>
                </w:tcPr>
                <w:p w14:paraId="0D10B5E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snapToGrid/>
                      <w:color w:val="auto"/>
                      <w:kern w:val="0"/>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rPr>
                    <w:t>着力优化城市生态空间布局。根据国土空间规划分区和用途管制，实施“三线一单”（生态保护红线、环境质量底线、资源利用上线和生态环境准入清单）生态环境分区管控制度。强化“三线一单”生态环境分区管控的刚性约束和政策引领作用，建立以“三线一单”为核心的生态环境分区管控体系，严格推动“三线一单”在规划编制、政策制定、环境准入、园区管理、执法监管等方面的应用。</w:t>
                  </w:r>
                </w:p>
              </w:tc>
              <w:tc>
                <w:tcPr>
                  <w:tcW w:w="1300" w:type="pct"/>
                  <w:noWrap w:val="0"/>
                  <w:vAlign w:val="center"/>
                </w:tcPr>
                <w:p w14:paraId="54EA8EE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rPr>
                    <w:t>本项目</w:t>
                  </w:r>
                  <w:r>
                    <w:rPr>
                      <w:rFonts w:hint="eastAsia" w:ascii="Times New Roman" w:hAnsi="Times New Roman" w:eastAsia="宋体" w:cs="Times New Roman"/>
                      <w:color w:val="auto"/>
                      <w:kern w:val="2"/>
                      <w:sz w:val="21"/>
                      <w:szCs w:val="21"/>
                      <w:highlight w:val="none"/>
                      <w:lang w:val="en-US" w:eastAsia="zh-CN"/>
                    </w:rPr>
                    <w:t>环评已根据陕西省“三线一单”数据应用系统导出的生态环境管控单元对照分析报告进行分析</w:t>
                  </w:r>
                  <w:r>
                    <w:rPr>
                      <w:rFonts w:hint="eastAsia" w:cs="Times New Roman"/>
                      <w:color w:val="auto"/>
                      <w:kern w:val="2"/>
                      <w:sz w:val="21"/>
                      <w:szCs w:val="21"/>
                      <w:highlight w:val="none"/>
                      <w:lang w:val="en-US" w:eastAsia="zh-CN"/>
                    </w:rPr>
                    <w:t>。</w:t>
                  </w:r>
                </w:p>
              </w:tc>
              <w:tc>
                <w:tcPr>
                  <w:tcW w:w="212" w:type="pct"/>
                  <w:noWrap w:val="0"/>
                  <w:vAlign w:val="center"/>
                </w:tcPr>
                <w:p w14:paraId="11A6017F">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1D790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noWrap w:val="0"/>
                  <w:vAlign w:val="center"/>
                </w:tcPr>
                <w:p w14:paraId="036C2361">
                  <w:pPr>
                    <w:keepNext w:val="0"/>
                    <w:keepLines w:val="0"/>
                    <w:suppressLineNumbers w:val="0"/>
                    <w:spacing w:before="0" w:beforeAutospacing="0" w:after="0" w:afterAutospacing="0"/>
                    <w:ind w:left="0" w:right="0"/>
                    <w:jc w:val="both"/>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cs="Times New Roman"/>
                      <w:color w:val="auto"/>
                      <w:szCs w:val="21"/>
                      <w:highlight w:val="none"/>
                    </w:rPr>
                    <w:t>《西安市生态环境局办公室关于加强涉气项目环境影响评价管理的通知》（市环办发[2023]47号）</w:t>
                  </w:r>
                </w:p>
              </w:tc>
              <w:tc>
                <w:tcPr>
                  <w:tcW w:w="2282" w:type="pct"/>
                  <w:noWrap w:val="0"/>
                  <w:vAlign w:val="center"/>
                </w:tcPr>
                <w:p w14:paraId="4EBFD9F4">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highlight w:val="none"/>
                    </w:rPr>
                  </w:pPr>
                  <w:r>
                    <w:rPr>
                      <w:rFonts w:hint="eastAsia" w:ascii="宋体" w:hAnsi="宋体" w:cs="宋体"/>
                      <w:color w:val="auto"/>
                      <w:sz w:val="21"/>
                      <w:szCs w:val="21"/>
                      <w:highlight w:val="none"/>
                    </w:rPr>
                    <w:t>①</w:t>
                  </w:r>
                  <w:r>
                    <w:rPr>
                      <w:rFonts w:hint="default" w:ascii="Times New Roman" w:hAnsi="Times New Roman" w:cs="Times New Roman"/>
                      <w:color w:val="auto"/>
                      <w:sz w:val="21"/>
                      <w:szCs w:val="21"/>
                      <w:highlight w:val="none"/>
                    </w:rPr>
                    <w:t>严格落实法律法规、政策标准要求，强化</w:t>
                  </w:r>
                  <w:r>
                    <w:rPr>
                      <w:rFonts w:hint="default" w:ascii="宋体" w:hAnsi="宋体" w:cs="Times New Roman"/>
                      <w:color w:val="auto"/>
                      <w:sz w:val="21"/>
                      <w:szCs w:val="21"/>
                      <w:highlight w:val="none"/>
                    </w:rPr>
                    <w:t>“三线一单”</w:t>
                  </w:r>
                  <w:r>
                    <w:rPr>
                      <w:rFonts w:hint="default" w:ascii="Times New Roman" w:hAnsi="Times New Roman" w:cs="Times New Roman"/>
                      <w:color w:val="auto"/>
                      <w:sz w:val="21"/>
                      <w:szCs w:val="21"/>
                      <w:highlight w:val="none"/>
                    </w:rPr>
                    <w:t>生态环境分区管控落地，发挥规划环评和总量指标的制约作用；</w:t>
                  </w:r>
                </w:p>
                <w:p w14:paraId="12BC01E2">
                  <w:pPr>
                    <w:keepNext w:val="0"/>
                    <w:keepLines w:val="0"/>
                    <w:suppressLineNumbers w:val="0"/>
                    <w:spacing w:before="0" w:beforeAutospacing="0" w:after="0" w:afterAutospacing="0"/>
                    <w:ind w:left="0" w:right="0"/>
                    <w:jc w:val="both"/>
                    <w:rPr>
                      <w:rFonts w:hint="default" w:ascii="Times New Roman" w:hAnsi="Times New Roman" w:eastAsia="宋体" w:cs="Times New Roman"/>
                      <w:snapToGrid/>
                      <w:color w:val="auto"/>
                      <w:kern w:val="0"/>
                      <w:sz w:val="21"/>
                      <w:szCs w:val="21"/>
                      <w:highlight w:val="none"/>
                      <w:lang w:val="en-US" w:eastAsia="zh-CN" w:bidi="ar"/>
                    </w:rPr>
                  </w:pPr>
                  <w:r>
                    <w:rPr>
                      <w:rFonts w:hint="eastAsia" w:ascii="宋体" w:hAnsi="宋体" w:cs="宋体"/>
                      <w:color w:val="auto"/>
                      <w:sz w:val="21"/>
                      <w:szCs w:val="21"/>
                      <w:highlight w:val="none"/>
                    </w:rPr>
                    <w:t>②</w:t>
                  </w:r>
                  <w:r>
                    <w:rPr>
                      <w:rFonts w:hint="default" w:ascii="Times New Roman" w:hAnsi="Times New Roman" w:cs="Times New Roman"/>
                      <w:color w:val="auto"/>
                      <w:sz w:val="21"/>
                      <w:szCs w:val="21"/>
                      <w:highlight w:val="none"/>
                    </w:rPr>
                    <w:t>新建项目不再采用低温等离子、光氧化、光催化等单一处理方式，非水溶性挥发性有机物废气不再采用喷淋吸收方式处理，采用活性炭吸附技术，其中颗粒碳碘吸附值不低于800mg/g或四氯化碳吸附率不低于60%，蜂窝活性炭碘吸附值不低于600mg/g或四氯化碳吸附率不低于30%，按设计要求足量添加、定期更换。</w:t>
                  </w:r>
                </w:p>
              </w:tc>
              <w:tc>
                <w:tcPr>
                  <w:tcW w:w="1300" w:type="pct"/>
                  <w:noWrap w:val="0"/>
                  <w:vAlign w:val="center"/>
                </w:tcPr>
                <w:p w14:paraId="41C4FCC3">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highlight w:val="none"/>
                    </w:rPr>
                  </w:pPr>
                  <w:r>
                    <w:rPr>
                      <w:rFonts w:hint="eastAsia" w:ascii="宋体" w:hAnsi="宋体" w:cs="宋体"/>
                      <w:color w:val="auto"/>
                      <w:sz w:val="21"/>
                      <w:szCs w:val="21"/>
                      <w:highlight w:val="none"/>
                    </w:rPr>
                    <w:t>①</w:t>
                  </w: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pacing w:val="-6"/>
                      <w:sz w:val="21"/>
                      <w:szCs w:val="21"/>
                      <w:highlight w:val="none"/>
                    </w:rPr>
                    <w:t>位于</w:t>
                  </w:r>
                  <w:r>
                    <w:rPr>
                      <w:rFonts w:hint="eastAsia" w:ascii="Times New Roman" w:hAnsi="Times New Roman" w:cs="Times New Roman"/>
                      <w:color w:val="auto"/>
                      <w:spacing w:val="-6"/>
                      <w:sz w:val="21"/>
                      <w:szCs w:val="21"/>
                      <w:highlight w:val="none"/>
                    </w:rPr>
                    <w:t>陕西省西咸新区沣西新城创新港G板块</w:t>
                  </w:r>
                  <w:r>
                    <w:rPr>
                      <w:rFonts w:hint="default" w:ascii="Times New Roman" w:hAnsi="Times New Roman" w:cs="Times New Roman"/>
                      <w:color w:val="auto"/>
                      <w:spacing w:val="-6"/>
                      <w:sz w:val="21"/>
                      <w:szCs w:val="21"/>
                      <w:highlight w:val="none"/>
                    </w:rPr>
                    <w:t>，位于西咸新区沣西新城规划范围内；项目</w:t>
                  </w:r>
                  <w:r>
                    <w:rPr>
                      <w:rFonts w:hint="eastAsia" w:cs="Times New Roman"/>
                      <w:color w:val="auto"/>
                      <w:sz w:val="21"/>
                      <w:szCs w:val="21"/>
                      <w:highlight w:val="none"/>
                      <w:lang w:val="en-US" w:eastAsia="zh-CN"/>
                    </w:rPr>
                    <w:t>为</w:t>
                  </w:r>
                  <w:r>
                    <w:rPr>
                      <w:rFonts w:hint="eastAsia" w:cs="Times New Roman"/>
                      <w:color w:val="auto"/>
                      <w:sz w:val="21"/>
                      <w:szCs w:val="21"/>
                      <w:highlight w:val="none"/>
                      <w:lang w:val="en-US" w:eastAsia="zh-CN"/>
                    </w:rPr>
                    <w:t>有色金属压延加工项目</w:t>
                  </w:r>
                  <w:r>
                    <w:rPr>
                      <w:rFonts w:hint="default" w:ascii="Times New Roman" w:hAnsi="Times New Roman" w:cs="Times New Roman"/>
                      <w:color w:val="auto"/>
                      <w:sz w:val="21"/>
                      <w:szCs w:val="21"/>
                      <w:highlight w:val="none"/>
                    </w:rPr>
                    <w:t>，符合西咸新区沣西新城分区规划（2016-2035年）规划要求；项目位于西安市生态环境分区管控重点管控单元内，运营期产生的各污染物均采取相应环保措施，符合西安市</w:t>
                  </w:r>
                  <w:r>
                    <w:rPr>
                      <w:rFonts w:hint="default" w:ascii="宋体" w:hAnsi="宋体" w:cs="Times New Roman"/>
                      <w:color w:val="auto"/>
                      <w:sz w:val="21"/>
                      <w:szCs w:val="21"/>
                      <w:highlight w:val="none"/>
                    </w:rPr>
                    <w:t>“三线一单”</w:t>
                  </w:r>
                  <w:r>
                    <w:rPr>
                      <w:rFonts w:hint="default" w:ascii="Times New Roman" w:hAnsi="Times New Roman" w:cs="Times New Roman"/>
                      <w:color w:val="auto"/>
                      <w:sz w:val="21"/>
                      <w:szCs w:val="21"/>
                      <w:highlight w:val="none"/>
                    </w:rPr>
                    <w:t>生态环境分区管控方案的要求；</w:t>
                  </w:r>
                </w:p>
                <w:p w14:paraId="20370F6B">
                  <w:pPr>
                    <w:keepNext w:val="0"/>
                    <w:keepLines w:val="0"/>
                    <w:suppressLineNumbers w:val="0"/>
                    <w:spacing w:before="0" w:beforeAutospacing="0" w:after="0" w:afterAutospacing="0"/>
                    <w:ind w:left="0" w:right="0"/>
                    <w:jc w:val="both"/>
                    <w:rPr>
                      <w:rFonts w:hint="default" w:ascii="Times New Roman" w:hAnsi="Times New Roman" w:eastAsia="宋体" w:cs="Times New Roman"/>
                      <w:snapToGrid/>
                      <w:color w:val="auto"/>
                      <w:kern w:val="0"/>
                      <w:sz w:val="21"/>
                      <w:szCs w:val="21"/>
                      <w:highlight w:val="none"/>
                      <w:lang w:val="en-US" w:eastAsia="zh-CN" w:bidi="ar"/>
                    </w:rPr>
                  </w:pPr>
                  <w:r>
                    <w:rPr>
                      <w:rFonts w:hint="eastAsia" w:ascii="宋体" w:hAnsi="宋体" w:cs="宋体"/>
                      <w:color w:val="auto"/>
                      <w:sz w:val="21"/>
                      <w:szCs w:val="21"/>
                      <w:highlight w:val="none"/>
                    </w:rPr>
                    <w:t>②</w:t>
                  </w:r>
                  <w:r>
                    <w:rPr>
                      <w:rFonts w:hint="default" w:ascii="Times New Roman" w:hAnsi="Times New Roman" w:cs="Times New Roman"/>
                      <w:color w:val="auto"/>
                      <w:sz w:val="21"/>
                      <w:szCs w:val="21"/>
                      <w:highlight w:val="none"/>
                      <w:lang w:val="en-US" w:eastAsia="zh-CN"/>
                    </w:rPr>
                    <w:t>实验室废气经</w:t>
                  </w:r>
                  <w:r>
                    <w:rPr>
                      <w:rFonts w:hint="eastAsia" w:cs="Times New Roman"/>
                      <w:color w:val="auto"/>
                      <w:sz w:val="21"/>
                      <w:szCs w:val="21"/>
                      <w:highlight w:val="none"/>
                      <w:lang w:val="en-US" w:eastAsia="zh-CN"/>
                    </w:rPr>
                    <w:t>通风橱+碱式喷淋塔+二级活性炭吸附装置</w:t>
                  </w:r>
                  <w:r>
                    <w:rPr>
                      <w:rFonts w:hint="default" w:ascii="Times New Roman" w:hAnsi="Times New Roman" w:cs="Times New Roman"/>
                      <w:color w:val="auto"/>
                      <w:sz w:val="21"/>
                      <w:szCs w:val="21"/>
                      <w:highlight w:val="none"/>
                      <w:lang w:val="en-US" w:eastAsia="zh-CN"/>
                    </w:rPr>
                    <w:t>处理后由</w:t>
                  </w:r>
                  <w:r>
                    <w:rPr>
                      <w:rFonts w:hint="eastAsia" w:ascii="Times New Roman" w:hAnsi="Times New Roman" w:cs="Times New Roman"/>
                      <w:color w:val="auto"/>
                      <w:sz w:val="21"/>
                      <w:szCs w:val="21"/>
                      <w:highlight w:val="none"/>
                      <w:lang w:val="en-US" w:eastAsia="zh-CN"/>
                    </w:rPr>
                    <w:t>41米高</w:t>
                  </w:r>
                  <w:r>
                    <w:rPr>
                      <w:rFonts w:hint="default" w:ascii="Times New Roman" w:hAnsi="Times New Roman" w:cs="Times New Roman"/>
                      <w:color w:val="auto"/>
                      <w:sz w:val="21"/>
                      <w:szCs w:val="21"/>
                      <w:highlight w:val="none"/>
                      <w:lang w:val="en-US" w:eastAsia="zh-CN"/>
                    </w:rPr>
                    <w:t>排气筒DA001排放</w:t>
                  </w:r>
                  <w:r>
                    <w:rPr>
                      <w:rFonts w:hint="default" w:ascii="Times New Roman" w:hAnsi="Times New Roman" w:cs="Times New Roman"/>
                      <w:color w:val="auto"/>
                      <w:sz w:val="21"/>
                      <w:szCs w:val="21"/>
                      <w:highlight w:val="none"/>
                    </w:rPr>
                    <w:t>。</w:t>
                  </w:r>
                </w:p>
              </w:tc>
              <w:tc>
                <w:tcPr>
                  <w:tcW w:w="212" w:type="pct"/>
                  <w:noWrap w:val="0"/>
                  <w:vAlign w:val="center"/>
                </w:tcPr>
                <w:p w14:paraId="1B8C4CB0">
                  <w:pPr>
                    <w:pStyle w:val="5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cs="Times New Roman"/>
                      <w:color w:val="auto"/>
                      <w:sz w:val="21"/>
                      <w:szCs w:val="21"/>
                      <w:highlight w:val="none"/>
                    </w:rPr>
                    <w:t>符合</w:t>
                  </w:r>
                </w:p>
              </w:tc>
            </w:tr>
            <w:tr w14:paraId="41358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restart"/>
                  <w:noWrap w:val="0"/>
                  <w:vAlign w:val="center"/>
                </w:tcPr>
                <w:p w14:paraId="2DD37D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《西咸新区大气污染治理专项行动方案（2023-2027)》</w:t>
                  </w:r>
                </w:p>
              </w:tc>
              <w:tc>
                <w:tcPr>
                  <w:tcW w:w="2282" w:type="pct"/>
                  <w:noWrap w:val="0"/>
                  <w:vAlign w:val="center"/>
                </w:tcPr>
                <w:p w14:paraId="46C21F80">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能源消费结构调整：（2）持续加强煤炭消费总量控制，严禁新上任何涉煤项目，协调上级逐年减少新区热电企业发电量，持续强化散煤治理。</w:t>
                  </w:r>
                </w:p>
              </w:tc>
              <w:tc>
                <w:tcPr>
                  <w:tcW w:w="1300" w:type="pct"/>
                  <w:noWrap w:val="0"/>
                  <w:vAlign w:val="center"/>
                </w:tcPr>
                <w:p w14:paraId="027586FC">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本项目使用电能作为能源，不使用煤炭。</w:t>
                  </w:r>
                </w:p>
              </w:tc>
              <w:tc>
                <w:tcPr>
                  <w:tcW w:w="212" w:type="pct"/>
                  <w:noWrap w:val="0"/>
                  <w:vAlign w:val="center"/>
                </w:tcPr>
                <w:p w14:paraId="1F4E5637">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2CEFE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continue"/>
                  <w:noWrap w:val="0"/>
                  <w:vAlign w:val="center"/>
                </w:tcPr>
                <w:p w14:paraId="4ADEF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tc>
              <w:tc>
                <w:tcPr>
                  <w:tcW w:w="2282" w:type="pct"/>
                  <w:noWrap w:val="0"/>
                  <w:vAlign w:val="center"/>
                </w:tcPr>
                <w:p w14:paraId="7C0B9FE1">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严格新、改、扩建涉气重点行业绩效评级限制条件新区范围内新、改、扩建涉气重点行业企业应达到环保绩效A级、绩效引领性水平。</w:t>
                  </w:r>
                </w:p>
              </w:tc>
              <w:tc>
                <w:tcPr>
                  <w:tcW w:w="1300" w:type="pct"/>
                  <w:noWrap w:val="0"/>
                  <w:vAlign w:val="center"/>
                </w:tcPr>
                <w:p w14:paraId="23378808">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根据《重污染天气重点行业应急减排措施制定技术指南》（2020年修订版）查询，</w:t>
                  </w:r>
                  <w:r>
                    <w:rPr>
                      <w:rFonts w:hint="eastAsia" w:cs="Times New Roman"/>
                      <w:snapToGrid/>
                      <w:color w:val="auto"/>
                      <w:kern w:val="0"/>
                      <w:sz w:val="21"/>
                      <w:szCs w:val="21"/>
                      <w:highlight w:val="none"/>
                      <w:lang w:val="en-US" w:eastAsia="zh-CN" w:bidi="ar"/>
                    </w:rPr>
                    <w:t>重点行业中</w:t>
                  </w:r>
                  <w:r>
                    <w:rPr>
                      <w:rFonts w:hint="default" w:ascii="Times New Roman" w:hAnsi="Times New Roman" w:eastAsia="宋体" w:cs="Times New Roman"/>
                      <w:snapToGrid/>
                      <w:color w:val="auto"/>
                      <w:kern w:val="0"/>
                      <w:sz w:val="21"/>
                      <w:szCs w:val="21"/>
                      <w:highlight w:val="none"/>
                      <w:lang w:val="en-US" w:eastAsia="zh-CN" w:bidi="ar"/>
                    </w:rPr>
                    <w:t>有色金属压延适用范围为铜压延加工和铝压延加工的企业，</w:t>
                  </w:r>
                  <w:r>
                    <w:rPr>
                      <w:rFonts w:hint="eastAsia" w:cs="Times New Roman"/>
                      <w:snapToGrid/>
                      <w:color w:val="auto"/>
                      <w:kern w:val="0"/>
                      <w:sz w:val="21"/>
                      <w:szCs w:val="21"/>
                      <w:highlight w:val="none"/>
                      <w:lang w:val="en-US" w:eastAsia="zh-CN" w:bidi="ar"/>
                    </w:rPr>
                    <w:t>本项目为</w:t>
                  </w:r>
                  <w:r>
                    <w:rPr>
                      <w:rFonts w:hint="default" w:ascii="Times New Roman" w:hAnsi="Times New Roman" w:eastAsia="宋体" w:cs="Times New Roman"/>
                      <w:snapToGrid/>
                      <w:color w:val="auto"/>
                      <w:kern w:val="0"/>
                      <w:sz w:val="21"/>
                      <w:szCs w:val="21"/>
                      <w:highlight w:val="none"/>
                      <w:lang w:val="en-US" w:eastAsia="zh-CN" w:bidi="ar"/>
                    </w:rPr>
                    <w:t>钛材压延加工企业</w:t>
                  </w:r>
                  <w:r>
                    <w:rPr>
                      <w:rFonts w:hint="eastAsia" w:cs="Times New Roman"/>
                      <w:snapToGrid/>
                      <w:color w:val="auto"/>
                      <w:kern w:val="0"/>
                      <w:sz w:val="21"/>
                      <w:szCs w:val="21"/>
                      <w:highlight w:val="none"/>
                      <w:lang w:val="en-US" w:eastAsia="zh-CN" w:bidi="ar"/>
                    </w:rPr>
                    <w:t>，故本项目不属于重点行业</w:t>
                  </w:r>
                  <w:r>
                    <w:rPr>
                      <w:rFonts w:hint="default" w:ascii="Times New Roman" w:hAnsi="Times New Roman" w:eastAsia="宋体" w:cs="Times New Roman"/>
                      <w:color w:val="auto"/>
                      <w:kern w:val="0"/>
                      <w:sz w:val="21"/>
                      <w:szCs w:val="21"/>
                      <w:highlight w:val="none"/>
                      <w:lang w:val="en-US" w:eastAsia="zh-CN" w:bidi="ar"/>
                    </w:rPr>
                    <w:t>，不需要编制绩效篇章。</w:t>
                  </w:r>
                </w:p>
              </w:tc>
              <w:tc>
                <w:tcPr>
                  <w:tcW w:w="212" w:type="pct"/>
                  <w:noWrap w:val="0"/>
                  <w:vAlign w:val="center"/>
                </w:tcPr>
                <w:p w14:paraId="20677926">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5676F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restart"/>
                  <w:noWrap w:val="0"/>
                  <w:vAlign w:val="center"/>
                </w:tcPr>
                <w:p w14:paraId="07E30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《沣西新城大气污染治理专项行动方案（2023-2027)》</w:t>
                  </w:r>
                </w:p>
              </w:tc>
              <w:tc>
                <w:tcPr>
                  <w:tcW w:w="2282" w:type="pct"/>
                  <w:noWrap w:val="0"/>
                  <w:vAlign w:val="center"/>
                </w:tcPr>
                <w:p w14:paraId="584678DA">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能源消费结构调整：（2）持续加强煤炭消费总量控制，严禁新上任何涉煤项目</w:t>
                  </w:r>
                  <w:r>
                    <w:rPr>
                      <w:rFonts w:hint="eastAsia" w:cs="Times New Roman"/>
                      <w:snapToGrid/>
                      <w:color w:val="auto"/>
                      <w:kern w:val="0"/>
                      <w:sz w:val="21"/>
                      <w:szCs w:val="21"/>
                      <w:highlight w:val="none"/>
                      <w:lang w:val="en-US" w:eastAsia="zh-CN" w:bidi="ar"/>
                    </w:rPr>
                    <w:t>。</w:t>
                  </w:r>
                </w:p>
              </w:tc>
              <w:tc>
                <w:tcPr>
                  <w:tcW w:w="1300" w:type="pct"/>
                  <w:noWrap w:val="0"/>
                  <w:vAlign w:val="center"/>
                </w:tcPr>
                <w:p w14:paraId="0FEC4AA6">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本项目使用电能作为能源，不使用煤炭。</w:t>
                  </w:r>
                </w:p>
              </w:tc>
              <w:tc>
                <w:tcPr>
                  <w:tcW w:w="212" w:type="pct"/>
                  <w:noWrap w:val="0"/>
                  <w:vAlign w:val="center"/>
                </w:tcPr>
                <w:p w14:paraId="18A49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60E0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vMerge w:val="continue"/>
                  <w:noWrap w:val="0"/>
                  <w:vAlign w:val="center"/>
                </w:tcPr>
                <w:p w14:paraId="31C10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p>
              </w:tc>
              <w:tc>
                <w:tcPr>
                  <w:tcW w:w="2282" w:type="pct"/>
                  <w:noWrap w:val="0"/>
                  <w:vAlign w:val="center"/>
                </w:tcPr>
                <w:p w14:paraId="5C5929A5">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推动产业结构调整：(2)严格新、改、扩建涉气重点行业绩效评级限制条件新城范围内新、改、扩建涉气重点行业企业应达到环保绩效A级、绩效引领性水平。</w:t>
                  </w:r>
                </w:p>
              </w:tc>
              <w:tc>
                <w:tcPr>
                  <w:tcW w:w="1300" w:type="pct"/>
                  <w:noWrap w:val="0"/>
                  <w:vAlign w:val="center"/>
                </w:tcPr>
                <w:p w14:paraId="1AF57B39">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根据《重污染天气重点行业应急减排措施制定技术指南》（2020年修订版）查询，</w:t>
                  </w:r>
                  <w:r>
                    <w:rPr>
                      <w:rFonts w:hint="eastAsia" w:cs="Times New Roman"/>
                      <w:snapToGrid/>
                      <w:color w:val="auto"/>
                      <w:kern w:val="0"/>
                      <w:sz w:val="21"/>
                      <w:szCs w:val="21"/>
                      <w:highlight w:val="none"/>
                      <w:lang w:val="en-US" w:eastAsia="zh-CN" w:bidi="ar"/>
                    </w:rPr>
                    <w:t>重点行业中</w:t>
                  </w:r>
                  <w:r>
                    <w:rPr>
                      <w:rFonts w:hint="default" w:ascii="Times New Roman" w:hAnsi="Times New Roman" w:eastAsia="宋体" w:cs="Times New Roman"/>
                      <w:snapToGrid/>
                      <w:color w:val="auto"/>
                      <w:kern w:val="0"/>
                      <w:sz w:val="21"/>
                      <w:szCs w:val="21"/>
                      <w:highlight w:val="none"/>
                      <w:lang w:val="en-US" w:eastAsia="zh-CN" w:bidi="ar"/>
                    </w:rPr>
                    <w:t>有色金属压延适用范围为铜压延加工和铝压延加工的企业，</w:t>
                  </w:r>
                  <w:r>
                    <w:rPr>
                      <w:rFonts w:hint="eastAsia" w:cs="Times New Roman"/>
                      <w:snapToGrid/>
                      <w:color w:val="auto"/>
                      <w:kern w:val="0"/>
                      <w:sz w:val="21"/>
                      <w:szCs w:val="21"/>
                      <w:highlight w:val="none"/>
                      <w:lang w:val="en-US" w:eastAsia="zh-CN" w:bidi="ar"/>
                    </w:rPr>
                    <w:t>本项目为</w:t>
                  </w:r>
                  <w:r>
                    <w:rPr>
                      <w:rFonts w:hint="default" w:ascii="Times New Roman" w:hAnsi="Times New Roman" w:eastAsia="宋体" w:cs="Times New Roman"/>
                      <w:snapToGrid/>
                      <w:color w:val="auto"/>
                      <w:kern w:val="0"/>
                      <w:sz w:val="21"/>
                      <w:szCs w:val="21"/>
                      <w:highlight w:val="none"/>
                      <w:lang w:val="en-US" w:eastAsia="zh-CN" w:bidi="ar"/>
                    </w:rPr>
                    <w:t>钛材压延加工企业</w:t>
                  </w:r>
                  <w:r>
                    <w:rPr>
                      <w:rFonts w:hint="eastAsia" w:cs="Times New Roman"/>
                      <w:snapToGrid/>
                      <w:color w:val="auto"/>
                      <w:kern w:val="0"/>
                      <w:sz w:val="21"/>
                      <w:szCs w:val="21"/>
                      <w:highlight w:val="none"/>
                      <w:lang w:val="en-US" w:eastAsia="zh-CN" w:bidi="ar"/>
                    </w:rPr>
                    <w:t>，故本项目不属于重点行业</w:t>
                  </w:r>
                  <w:r>
                    <w:rPr>
                      <w:rFonts w:hint="default" w:ascii="Times New Roman" w:hAnsi="Times New Roman" w:eastAsia="宋体" w:cs="Times New Roman"/>
                      <w:color w:val="auto"/>
                      <w:kern w:val="0"/>
                      <w:sz w:val="21"/>
                      <w:szCs w:val="21"/>
                      <w:highlight w:val="none"/>
                      <w:lang w:val="en-US" w:eastAsia="zh-CN" w:bidi="ar"/>
                    </w:rPr>
                    <w:t>，不需要编制绩效篇章。</w:t>
                  </w:r>
                </w:p>
              </w:tc>
              <w:tc>
                <w:tcPr>
                  <w:tcW w:w="212" w:type="pct"/>
                  <w:noWrap w:val="0"/>
                  <w:vAlign w:val="center"/>
                </w:tcPr>
                <w:p w14:paraId="62B9B2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F6CD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noWrap w:val="0"/>
                  <w:vAlign w:val="center"/>
                </w:tcPr>
                <w:p w14:paraId="3BD9B3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《西咸新区沣西新城国民经济和社会发展第十四个五年规划和二〇三五年远景目标纲要》</w:t>
                  </w:r>
                </w:p>
              </w:tc>
              <w:tc>
                <w:tcPr>
                  <w:tcW w:w="2282" w:type="pct"/>
                  <w:noWrap w:val="0"/>
                  <w:vAlign w:val="center"/>
                </w:tcPr>
                <w:p w14:paraId="4A0B2014">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发展定位：总体形成一个战略定位和四个功能定位相统一协调的</w:t>
                  </w:r>
                  <w:r>
                    <w:rPr>
                      <w:rFonts w:hint="eastAsia" w:ascii="Times New Roman" w:hAnsi="Times New Roman" w:eastAsia="宋体"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1+4</w:t>
                  </w:r>
                  <w:r>
                    <w:rPr>
                      <w:rFonts w:hint="eastAsia" w:ascii="Times New Roman" w:hAnsi="Times New Roman" w:eastAsia="宋体"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发展定位体系。战略定位：高水平科技自立自强创新策源地·高质量创新城市发展方式样板区。功能定位：宜居宜业的科创城。</w:t>
                  </w:r>
                </w:p>
              </w:tc>
              <w:tc>
                <w:tcPr>
                  <w:tcW w:w="1300" w:type="pct"/>
                  <w:noWrap w:val="0"/>
                  <w:vAlign w:val="center"/>
                </w:tcPr>
                <w:p w14:paraId="0A282E14">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本项目为</w:t>
                  </w:r>
                  <w:r>
                    <w:rPr>
                      <w:rFonts w:hint="eastAsia" w:ascii="Times New Roman" w:hAnsi="Times New Roman" w:eastAsia="宋体" w:cs="Times New Roman"/>
                      <w:color w:val="auto"/>
                      <w:kern w:val="0"/>
                      <w:sz w:val="21"/>
                      <w:szCs w:val="21"/>
                      <w:highlight w:val="none"/>
                      <w:lang w:val="en-US" w:eastAsia="zh-CN"/>
                    </w:rPr>
                    <w:t>有色金属压延加工项目</w:t>
                  </w:r>
                  <w:r>
                    <w:rPr>
                      <w:rFonts w:hint="default" w:ascii="Times New Roman" w:hAnsi="Times New Roman" w:eastAsia="宋体" w:cs="Times New Roman"/>
                      <w:snapToGrid/>
                      <w:color w:val="auto"/>
                      <w:kern w:val="0"/>
                      <w:sz w:val="21"/>
                      <w:szCs w:val="21"/>
                      <w:highlight w:val="none"/>
                      <w:lang w:val="en-US" w:eastAsia="zh-CN" w:bidi="ar"/>
                    </w:rPr>
                    <w:t>，属于制造业企业，与功能定位</w:t>
                  </w:r>
                  <w:r>
                    <w:rPr>
                      <w:rFonts w:hint="eastAsia"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宜居宜业</w:t>
                  </w:r>
                  <w:r>
                    <w:rPr>
                      <w:rFonts w:hint="eastAsia" w:cs="Times New Roman"/>
                      <w:snapToGrid/>
                      <w:color w:val="auto"/>
                      <w:kern w:val="0"/>
                      <w:sz w:val="21"/>
                      <w:szCs w:val="21"/>
                      <w:highlight w:val="none"/>
                      <w:lang w:val="en-US" w:eastAsia="zh-CN" w:bidi="ar"/>
                    </w:rPr>
                    <w:t>”</w:t>
                  </w:r>
                  <w:r>
                    <w:rPr>
                      <w:rFonts w:hint="default" w:ascii="Times New Roman" w:hAnsi="Times New Roman" w:eastAsia="宋体" w:cs="Times New Roman"/>
                      <w:snapToGrid/>
                      <w:color w:val="auto"/>
                      <w:kern w:val="0"/>
                      <w:sz w:val="21"/>
                      <w:szCs w:val="21"/>
                      <w:highlight w:val="none"/>
                      <w:lang w:val="en-US" w:eastAsia="zh-CN" w:bidi="ar"/>
                    </w:rPr>
                    <w:t>的创新城相符。</w:t>
                  </w:r>
                </w:p>
              </w:tc>
              <w:tc>
                <w:tcPr>
                  <w:tcW w:w="212" w:type="pct"/>
                  <w:noWrap w:val="0"/>
                  <w:vAlign w:val="center"/>
                </w:tcPr>
                <w:p w14:paraId="0AC43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764A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4" w:type="pct"/>
                  <w:noWrap w:val="0"/>
                  <w:vAlign w:val="center"/>
                </w:tcPr>
                <w:p w14:paraId="4B555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w:t>
                  </w:r>
                  <w:r>
                    <w:rPr>
                      <w:rFonts w:hint="eastAsia" w:ascii="Times New Roman" w:hAnsi="Times New Roman" w:eastAsia="宋体" w:cs="Times New Roman"/>
                      <w:snapToGrid/>
                      <w:color w:val="auto"/>
                      <w:kern w:val="2"/>
                      <w:sz w:val="21"/>
                      <w:szCs w:val="21"/>
                      <w:highlight w:val="none"/>
                      <w:lang w:val="en-US" w:eastAsia="zh-CN"/>
                    </w:rPr>
                    <w:t>“十四五”</w:t>
                  </w:r>
                  <w:r>
                    <w:rPr>
                      <w:rFonts w:hint="default" w:ascii="Times New Roman" w:hAnsi="Times New Roman" w:eastAsia="宋体" w:cs="Times New Roman"/>
                      <w:snapToGrid/>
                      <w:color w:val="auto"/>
                      <w:kern w:val="2"/>
                      <w:sz w:val="21"/>
                      <w:szCs w:val="21"/>
                      <w:highlight w:val="none"/>
                      <w:lang w:val="en-US" w:eastAsia="zh-CN"/>
                    </w:rPr>
                    <w:t>噪声污染防治行动计划》</w:t>
                  </w:r>
                </w:p>
              </w:tc>
              <w:tc>
                <w:tcPr>
                  <w:tcW w:w="2282" w:type="pct"/>
                  <w:noWrap w:val="0"/>
                  <w:vAlign w:val="center"/>
                </w:tcPr>
                <w:p w14:paraId="699A9394">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8．严格落实噪声污染防治要求。制定修改相关规划、建设对环境有影响的项目时，应依法开展环评，对可能产生噪声与振动的影响进行分析、预测和评估，积极采取噪声污染防治对策措施。建设项目的噪声污染防治设施应当与主体工程同时设计、同时施工、同时投产使用。</w:t>
                  </w:r>
                </w:p>
              </w:tc>
              <w:tc>
                <w:tcPr>
                  <w:tcW w:w="1300" w:type="pct"/>
                  <w:noWrap w:val="0"/>
                  <w:vAlign w:val="center"/>
                </w:tcPr>
                <w:p w14:paraId="38C40FD5">
                  <w:pPr>
                    <w:keepNext w:val="0"/>
                    <w:keepLines w:val="0"/>
                    <w:pageBreakBefore w:val="0"/>
                    <w:widowControl/>
                    <w:suppressLineNumbers w:val="0"/>
                    <w:kinsoku/>
                    <w:overflowPunct/>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本项目选用低噪声油压机、真空等离子弧焊机、真空自耗电弧炉、车床等设备，对声源采用隔声、减振等措施。</w:t>
                  </w:r>
                </w:p>
              </w:tc>
              <w:tc>
                <w:tcPr>
                  <w:tcW w:w="212" w:type="pct"/>
                  <w:noWrap w:val="0"/>
                  <w:vAlign w:val="center"/>
                </w:tcPr>
                <w:p w14:paraId="4F550F6C">
                  <w:pPr>
                    <w:keepNext w:val="0"/>
                    <w:keepLines w:val="0"/>
                    <w:pageBreakBefore w:val="0"/>
                    <w:widowControl w:val="0"/>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bl>
          <w:p w14:paraId="0F150987">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 xml:space="preserve">、项目选址合理性分析 </w:t>
            </w:r>
          </w:p>
          <w:p w14:paraId="3B5C7A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①本项目为新建，用地性质为工业用地。本项目东临CXG东南三路，南侧间隔创智路为空地，西侧为</w:t>
            </w:r>
            <w:r>
              <w:rPr>
                <w:rFonts w:hint="eastAsia" w:cs="Times New Roman"/>
                <w:color w:val="auto"/>
                <w:sz w:val="24"/>
                <w:szCs w:val="24"/>
                <w:highlight w:val="none"/>
                <w:lang w:val="en-US" w:eastAsia="zh-CN"/>
              </w:rPr>
              <w:t>空地</w:t>
            </w:r>
            <w:r>
              <w:rPr>
                <w:rFonts w:hint="default" w:ascii="Times New Roman" w:hAnsi="Times New Roman" w:eastAsia="宋体" w:cs="Times New Roman"/>
                <w:color w:val="auto"/>
                <w:sz w:val="24"/>
                <w:szCs w:val="24"/>
                <w:highlight w:val="none"/>
              </w:rPr>
              <w:t>，北邻西咸新区聚兴实业有限公司</w:t>
            </w:r>
            <w:r>
              <w:rPr>
                <w:rFonts w:hint="default" w:ascii="Times New Roman" w:hAnsi="Times New Roman" w:eastAsia="宋体" w:cs="Times New Roman"/>
                <w:color w:val="auto"/>
                <w:sz w:val="24"/>
                <w:szCs w:val="24"/>
                <w:highlight w:val="none"/>
                <w:lang w:val="en-US" w:eastAsia="zh-CN"/>
              </w:rPr>
              <w:t>。</w:t>
            </w:r>
          </w:p>
          <w:p w14:paraId="5E26B9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根据现场勘查，项目选址不涉及基本农田保护区、自然保护区、风景名胜区、饮用水水源保护区和生态保护红线，不在国家、地方规划的重点生态功能区的敏感区域内。本项目选址周边的市政基础配套设施正在建设中，本项目的用水和用电设施就近配套接入，目前项目区周边的市政污水管网暂未建设</w:t>
            </w:r>
            <w:r>
              <w:rPr>
                <w:rFonts w:hint="default" w:ascii="Times New Roman" w:hAnsi="Times New Roman" w:eastAsia="宋体" w:cs="Times New Roman"/>
                <w:color w:val="auto"/>
                <w:kern w:val="2"/>
                <w:sz w:val="24"/>
                <w:szCs w:val="24"/>
                <w:highlight w:val="none"/>
                <w:lang w:val="en-US" w:eastAsia="zh-CN" w:bidi="ar-SA"/>
              </w:rPr>
              <w:t>。</w:t>
            </w:r>
          </w:p>
          <w:p w14:paraId="265D57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③本项目厂区周边的敏感点位于厂界的西侧和南侧，处于厂区的下风向，本项目的大气污染主要是焊接产生的少量焊接烟尘及实验室废气</w:t>
            </w:r>
            <w:r>
              <w:rPr>
                <w:rFonts w:hint="eastAsia" w:cs="Times New Roman"/>
                <w:color w:val="auto"/>
                <w:sz w:val="24"/>
                <w:szCs w:val="24"/>
                <w:highlight w:val="none"/>
                <w:lang w:val="en-US" w:eastAsia="zh-CN"/>
              </w:rPr>
              <w:t>，焊接烟尘经焊烟净化器处理后，对厂界下风向的敏感点东联庄和西联庄影响较小</w:t>
            </w:r>
            <w:r>
              <w:rPr>
                <w:rFonts w:hint="default" w:ascii="Times New Roman" w:hAnsi="Times New Roman" w:eastAsia="宋体" w:cs="Times New Roman"/>
                <w:color w:val="auto"/>
                <w:sz w:val="24"/>
                <w:szCs w:val="24"/>
                <w:highlight w:val="none"/>
                <w:lang w:val="en-US" w:eastAsia="zh-CN"/>
              </w:rPr>
              <w:t>。</w:t>
            </w:r>
          </w:p>
          <w:p w14:paraId="366A2F54">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rPr>
              <w:t>本项目在严格执行本环评提出的各项防治措施的前提下，各类污染物均可达标排放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对周围环境产生的影响较小，不会改变评价区现有环境功能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可以满足评价区的环境功能要求。</w:t>
            </w:r>
          </w:p>
          <w:p w14:paraId="02B9C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因此，在严格落实本报告提出的环保措施后，项目的建设和运行不会对外环境产生较大影响，从环境保护角度分析，</w:t>
            </w:r>
            <w:r>
              <w:rPr>
                <w:rFonts w:hint="eastAsia" w:cs="Times New Roman"/>
                <w:color w:val="auto"/>
                <w:sz w:val="24"/>
                <w:szCs w:val="24"/>
                <w:highlight w:val="none"/>
                <w:lang w:val="en-US" w:eastAsia="zh-CN"/>
              </w:rPr>
              <w:t>项目建设</w:t>
            </w:r>
            <w:r>
              <w:rPr>
                <w:rFonts w:hint="default" w:ascii="Times New Roman" w:hAnsi="Times New Roman" w:eastAsia="宋体" w:cs="Times New Roman"/>
                <w:color w:val="auto"/>
                <w:sz w:val="24"/>
                <w:szCs w:val="24"/>
                <w:highlight w:val="none"/>
              </w:rPr>
              <w:t>选址可行</w:t>
            </w:r>
            <w:r>
              <w:rPr>
                <w:rFonts w:hint="default" w:ascii="Times New Roman" w:hAnsi="Times New Roman" w:eastAsia="宋体" w:cs="Times New Roman"/>
                <w:color w:val="auto"/>
                <w:sz w:val="24"/>
                <w:szCs w:val="24"/>
                <w:highlight w:val="none"/>
                <w:lang w:eastAsia="zh-CN"/>
              </w:rPr>
              <w:t>。</w:t>
            </w:r>
          </w:p>
          <w:p w14:paraId="5F53A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其他事项说明</w:t>
            </w:r>
          </w:p>
          <w:p w14:paraId="4C15E2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s="Times New Roman"/>
                <w:color w:val="auto"/>
                <w:sz w:val="24"/>
                <w:szCs w:val="24"/>
                <w:highlight w:val="none"/>
                <w:lang w:val="en-US" w:eastAsia="zh-CN"/>
              </w:rPr>
            </w:pPr>
            <w:r>
              <w:rPr>
                <w:rFonts w:hint="default" w:cs="Times New Roman"/>
                <w:color w:val="auto"/>
                <w:sz w:val="24"/>
                <w:szCs w:val="24"/>
                <w:highlight w:val="none"/>
                <w:lang w:val="en-US" w:eastAsia="zh-CN"/>
              </w:rPr>
              <w:t xml:space="preserve"> 陕西星汉北辰新材料科技有限公司</w:t>
            </w:r>
            <w:r>
              <w:rPr>
                <w:rFonts w:hint="eastAsia" w:cs="Times New Roman"/>
                <w:color w:val="auto"/>
                <w:sz w:val="24"/>
                <w:szCs w:val="24"/>
                <w:highlight w:val="none"/>
                <w:lang w:val="en-US" w:eastAsia="zh-CN"/>
              </w:rPr>
              <w:t>于2024年1月编制了《先进钛合金材料产业园（一期）项目环境影响报告表》，并于2024年3月26日取得了陕西省西咸新区沣西新城管理委员会关于《先进钛合金材料产业园(一期)项目环境影响报告表的批复》（西咸沣西审准[2024]45号）。</w:t>
            </w:r>
          </w:p>
          <w:p w14:paraId="77893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原先报告表中仅对一期内容进行评价，现由于投产资金金额增大，且企业有意愿将一期、二期及三期内容一同建设，故将重新办理环评手续</w:t>
            </w:r>
            <w:r>
              <w:rPr>
                <w:rFonts w:hint="eastAsia" w:cs="Times New Roman"/>
                <w:color w:val="auto"/>
                <w:sz w:val="24"/>
                <w:szCs w:val="24"/>
                <w:highlight w:val="none"/>
                <w:lang w:val="en-US" w:eastAsia="zh-CN"/>
              </w:rPr>
              <w:t>。本次评价内容为备案表中全部内容（一期1号生产厂房、二期2号厂房、三期科研实验楼及其他配套设施）。陕西省西咸新区沣西新城管理委员会将撤销原先《先进钛合金材料产业园(一期)项目环境影响报告表的批复》（西咸沣西审准[2024]45号），待本项目审批后重新印发环评批复</w:t>
            </w:r>
            <w:r>
              <w:rPr>
                <w:rFonts w:hint="eastAsia" w:cs="Times New Roman"/>
                <w:color w:val="auto"/>
                <w:sz w:val="24"/>
                <w:szCs w:val="24"/>
                <w:highlight w:val="none"/>
                <w:lang w:val="en-US" w:eastAsia="zh-CN"/>
              </w:rPr>
              <w:t>。</w:t>
            </w:r>
          </w:p>
          <w:p w14:paraId="0999A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本项目正在进行1号生产厂房的建设，生产设备未入厂，未进行生产。</w:t>
            </w:r>
          </w:p>
        </w:tc>
      </w:tr>
    </w:tbl>
    <w:p w14:paraId="52A0E5AA">
      <w:pPr>
        <w:spacing w:line="360" w:lineRule="auto"/>
        <w:outlineLvl w:val="0"/>
        <w:rPr>
          <w:rFonts w:hint="default" w:ascii="Times New Roman" w:hAnsi="Times New Roman" w:eastAsia="宋体" w:cs="Times New Roman"/>
          <w:color w:val="auto"/>
          <w:sz w:val="30"/>
          <w:highlight w:val="none"/>
        </w:rPr>
        <w:sectPr>
          <w:footerReference r:id="rId4" w:type="default"/>
          <w:pgSz w:w="11906" w:h="16838"/>
          <w:pgMar w:top="1134" w:right="1134" w:bottom="1134" w:left="1134"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F53C597">
      <w:pPr>
        <w:pStyle w:val="23"/>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7"/>
      </w:tblGrid>
      <w:tr w14:paraId="1BFE0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52" w:type="dxa"/>
            <w:noWrap w:val="0"/>
            <w:vAlign w:val="center"/>
          </w:tcPr>
          <w:p w14:paraId="1FEC6627">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w:t>
            </w:r>
          </w:p>
          <w:p w14:paraId="40ECD5A6">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w:t>
            </w:r>
          </w:p>
          <w:p w14:paraId="4C757203">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内</w:t>
            </w:r>
          </w:p>
          <w:p w14:paraId="4FED1999">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容</w:t>
            </w:r>
          </w:p>
        </w:tc>
        <w:tc>
          <w:tcPr>
            <w:tcW w:w="8608" w:type="dxa"/>
            <w:noWrap w:val="0"/>
            <w:vAlign w:val="top"/>
          </w:tcPr>
          <w:p w14:paraId="556C864C">
            <w:pPr>
              <w:pStyle w:val="104"/>
              <w:keepNext w:val="0"/>
              <w:keepLines w:val="0"/>
              <w:suppressLineNumbers w:val="0"/>
              <w:spacing w:before="41" w:beforeAutospacing="0" w:after="0" w:afterAutospacing="0" w:line="219" w:lineRule="auto"/>
              <w:ind w:left="111" w:right="0"/>
              <w:rPr>
                <w:rFonts w:hint="default"/>
                <w:color w:val="auto"/>
                <w:highlight w:val="none"/>
              </w:rPr>
            </w:pPr>
            <w:r>
              <w:rPr>
                <w:rFonts w:hint="eastAsia"/>
                <w:color w:val="auto"/>
                <w:highlight w:val="none"/>
                <w:lang w:val="en-US" w:eastAsia="zh-CN"/>
              </w:rPr>
              <w:t xml:space="preserve">  </w:t>
            </w:r>
            <w:r>
              <w:rPr>
                <w:rFonts w:hint="default" w:ascii="Times New Roman" w:hAnsi="Times New Roman" w:eastAsia="宋体" w:cs="Times New Roman"/>
                <w:b/>
                <w:color w:val="auto"/>
                <w:kern w:val="2"/>
                <w:sz w:val="24"/>
                <w:szCs w:val="24"/>
                <w:highlight w:val="none"/>
                <w:lang w:val="en-US" w:eastAsia="zh-CN" w:bidi="ar-SA"/>
              </w:rPr>
              <w:t>1 、项目概况</w:t>
            </w:r>
          </w:p>
          <w:p w14:paraId="07FCD46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陕西星汉北辰新材料科技有限公司住所位于陕西省西咸新区沣西新城秦创原生态科创岛05单元9号楼1层，经营范围为：新材料技术研发，有色金属合金制造，有色金属压延加工等。202</w:t>
            </w:r>
            <w:r>
              <w:rPr>
                <w:rFonts w:hint="eastAsia"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月</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日，陕西星汉北辰新材料科技有限公司取得陕西省西咸新区沣西新城管理委员会出具的《先进钛合金材料产业园备案确认书》备案文件，项目代码</w:t>
            </w:r>
            <w:r>
              <w:rPr>
                <w:rFonts w:hint="eastAsia" w:eastAsia="宋体" w:cs="Times New Roman"/>
                <w:color w:val="auto"/>
                <w:sz w:val="24"/>
                <w:szCs w:val="24"/>
                <w:highlight w:val="none"/>
                <w:lang w:val="en-US" w:eastAsia="zh-CN"/>
              </w:rPr>
              <w:t>2310-611205-04-01-855179</w:t>
            </w:r>
            <w:r>
              <w:rPr>
                <w:rFonts w:hint="default" w:ascii="Times New Roman" w:hAnsi="Times New Roman" w:eastAsia="宋体" w:cs="Times New Roman"/>
                <w:color w:val="auto"/>
                <w:sz w:val="24"/>
                <w:szCs w:val="24"/>
                <w:highlight w:val="none"/>
                <w:lang w:val="en-US" w:eastAsia="zh-CN"/>
              </w:rPr>
              <w:t>（附件二），建设规模及内容：占地约55亩，拟建设具有国际先进水平高温钛合金熔炼示范生产基地，建设内容有一期1号生产厂房、二期2号厂房、三期科研实验楼及其他配套设施，总投资为35000万元。本次评价内容为</w:t>
            </w:r>
            <w:r>
              <w:rPr>
                <w:rFonts w:hint="eastAsia" w:eastAsia="宋体" w:cs="Times New Roman"/>
                <w:color w:val="auto"/>
                <w:sz w:val="24"/>
                <w:szCs w:val="24"/>
                <w:highlight w:val="none"/>
                <w:lang w:val="en-US" w:eastAsia="zh-CN"/>
              </w:rPr>
              <w:t>备案文件中的全部内容</w:t>
            </w:r>
            <w:r>
              <w:rPr>
                <w:rFonts w:hint="default" w:ascii="Times New Roman" w:hAnsi="Times New Roman" w:eastAsia="宋体" w:cs="Times New Roman"/>
                <w:color w:val="auto"/>
                <w:sz w:val="24"/>
                <w:szCs w:val="24"/>
                <w:highlight w:val="none"/>
                <w:lang w:val="en-US" w:eastAsia="zh-CN"/>
              </w:rPr>
              <w:t>，项目建成后，年产</w:t>
            </w:r>
            <w:r>
              <w:rPr>
                <w:rFonts w:hint="eastAsia" w:eastAsia="宋体" w:cs="Times New Roman"/>
                <w:color w:val="auto"/>
                <w:sz w:val="24"/>
                <w:szCs w:val="24"/>
                <w:highlight w:val="none"/>
                <w:lang w:val="en-US" w:eastAsia="zh-CN"/>
              </w:rPr>
              <w:t>77</w:t>
            </w:r>
            <w:r>
              <w:rPr>
                <w:rFonts w:hint="default" w:ascii="Times New Roman" w:hAnsi="Times New Roman" w:eastAsia="宋体" w:cs="Times New Roman"/>
                <w:color w:val="auto"/>
                <w:sz w:val="24"/>
                <w:szCs w:val="24"/>
                <w:highlight w:val="none"/>
                <w:lang w:val="en-US" w:eastAsia="zh-CN"/>
              </w:rPr>
              <w:t>00吨钛锭。</w:t>
            </w:r>
          </w:p>
          <w:p w14:paraId="5DCD9068">
            <w:pPr>
              <w:keepNext w:val="0"/>
              <w:keepLines w:val="0"/>
              <w:suppressLineNumbers w:val="0"/>
              <w:spacing w:before="0" w:beforeAutospacing="0" w:after="0" w:afterAutospacing="0" w:line="360" w:lineRule="auto"/>
              <w:ind w:left="0" w:right="0" w:firstLine="480" w:firstLineChars="200"/>
              <w:jc w:val="left"/>
              <w:rPr>
                <w:rFonts w:hint="default"/>
                <w:color w:val="auto"/>
                <w:highlight w:val="none"/>
              </w:rPr>
            </w:pPr>
            <w:r>
              <w:rPr>
                <w:rFonts w:hint="default" w:ascii="Times New Roman" w:hAnsi="Times New Roman" w:eastAsia="宋体" w:cs="Times New Roman"/>
                <w:color w:val="auto"/>
                <w:sz w:val="24"/>
                <w:szCs w:val="24"/>
                <w:highlight w:val="none"/>
                <w:lang w:val="en-US" w:eastAsia="zh-CN"/>
              </w:rPr>
              <w:t>根据《中华人民共和国环境保护法》《中华人民共和国环境影响评价法》《建设项目环境保护管理条例》等有关法律法规要求，该项目应进行环境影响评价。对照《建设项目环境影响评价分类管理名录》（2021年版），本项目属于</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二十九、有色金属冶炼和压延加工业32-有色压延加工325-全部</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，本项目应编制环境影响报告表</w:t>
            </w:r>
            <w:r>
              <w:rPr>
                <w:rFonts w:hint="eastAsia" w:eastAsia="宋体" w:cs="Times New Roman"/>
                <w:color w:val="auto"/>
                <w:sz w:val="24"/>
                <w:szCs w:val="24"/>
                <w:highlight w:val="none"/>
                <w:lang w:val="en-US" w:eastAsia="zh-CN"/>
              </w:rPr>
              <w:t>。</w:t>
            </w:r>
          </w:p>
          <w:p w14:paraId="7D11C76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eastAsia"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bCs/>
                <w:color w:val="auto"/>
                <w:sz w:val="24"/>
                <w:szCs w:val="24"/>
                <w:highlight w:val="none"/>
              </w:rPr>
              <w:t>项目基本情况</w:t>
            </w:r>
          </w:p>
          <w:p w14:paraId="460FE4F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项目名称：</w:t>
            </w:r>
            <w:r>
              <w:rPr>
                <w:rFonts w:hint="eastAsia" w:cs="Times New Roman"/>
                <w:color w:val="auto"/>
                <w:sz w:val="24"/>
                <w:szCs w:val="24"/>
                <w:highlight w:val="none"/>
                <w:lang w:val="en-US" w:eastAsia="zh-CN"/>
              </w:rPr>
              <w:t>先进钛合金材料产业园</w:t>
            </w:r>
          </w:p>
          <w:p w14:paraId="4C73CC3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建设性质：新建</w:t>
            </w:r>
          </w:p>
          <w:p w14:paraId="3B59549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建设单位：</w:t>
            </w:r>
            <w:r>
              <w:rPr>
                <w:rFonts w:hint="eastAsia" w:cs="Times New Roman"/>
                <w:color w:val="auto"/>
                <w:sz w:val="24"/>
                <w:szCs w:val="24"/>
                <w:highlight w:val="none"/>
                <w:lang w:val="en-US" w:eastAsia="zh-CN"/>
              </w:rPr>
              <w:t>陕西星汉北辰新材料科技有限公司</w:t>
            </w:r>
          </w:p>
          <w:p w14:paraId="50D455A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建设地点：</w:t>
            </w:r>
            <w:r>
              <w:rPr>
                <w:rFonts w:hint="eastAsia" w:cs="Times New Roman"/>
                <w:color w:val="auto"/>
                <w:sz w:val="24"/>
                <w:szCs w:val="24"/>
                <w:highlight w:val="none"/>
                <w:lang w:val="en-US" w:eastAsia="zh-CN"/>
              </w:rPr>
              <w:t>陕西省西咸新区沣西新城创新港G板块，四至范围为CXG东南二路以东、创智路以北、CXG东南三路以西地块</w:t>
            </w:r>
          </w:p>
          <w:p w14:paraId="710817E8">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rPr>
              <w:t>、</w:t>
            </w:r>
            <w:r>
              <w:rPr>
                <w:rFonts w:hint="default" w:ascii="Times New Roman" w:hAnsi="Times New Roman" w:eastAsia="宋体" w:cs="Times New Roman"/>
                <w:b/>
                <w:bCs/>
                <w:color w:val="auto"/>
                <w:kern w:val="0"/>
                <w:sz w:val="24"/>
                <w:szCs w:val="24"/>
                <w:highlight w:val="none"/>
                <w:lang w:val="en-US" w:eastAsia="zh-CN"/>
              </w:rPr>
              <w:t>地理位置及四邻关系</w:t>
            </w:r>
          </w:p>
          <w:p w14:paraId="607E6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本项目位于</w:t>
            </w:r>
            <w:r>
              <w:rPr>
                <w:rFonts w:hint="eastAsia" w:cs="Times New Roman"/>
                <w:color w:val="auto"/>
                <w:sz w:val="24"/>
                <w:szCs w:val="24"/>
                <w:highlight w:val="none"/>
                <w:lang w:val="en-US" w:eastAsia="zh-CN"/>
              </w:rPr>
              <w:t>陕西省西咸新区沣西新城创新港G板块，四至范围为CXG东南二路以东、创智路以北、CXG东南三路以西地块</w:t>
            </w:r>
            <w:r>
              <w:rPr>
                <w:rFonts w:hint="default" w:ascii="Times New Roman" w:hAnsi="Times New Roman" w:eastAsia="宋体" w:cs="Times New Roman"/>
                <w:color w:val="auto"/>
                <w:sz w:val="24"/>
                <w:szCs w:val="24"/>
                <w:highlight w:val="none"/>
                <w:lang w:eastAsia="zh-CN"/>
              </w:rPr>
              <w:t>，地理坐标：</w:t>
            </w:r>
            <w:r>
              <w:rPr>
                <w:rFonts w:hint="default" w:ascii="Times New Roman" w:hAnsi="Times New Roman" w:eastAsia="宋体" w:cs="Times New Roman"/>
                <w:bCs/>
                <w:color w:val="auto"/>
                <w:kern w:val="0"/>
                <w:sz w:val="24"/>
                <w:szCs w:val="24"/>
                <w:highlight w:val="none"/>
                <w:lang w:val="en-US" w:eastAsia="zh-CN"/>
              </w:rPr>
              <w:t>东</w:t>
            </w:r>
            <w:r>
              <w:rPr>
                <w:rFonts w:hint="default" w:ascii="Times New Roman" w:hAnsi="Times New Roman" w:eastAsia="宋体" w:cs="Times New Roman"/>
                <w:bCs/>
                <w:color w:val="auto"/>
                <w:kern w:val="0"/>
                <w:sz w:val="24"/>
                <w:szCs w:val="24"/>
                <w:highlight w:val="none"/>
                <w:u w:val="none"/>
                <w:lang w:val="en-US" w:eastAsia="zh-CN"/>
              </w:rPr>
              <w:t>经</w:t>
            </w:r>
            <w:r>
              <w:rPr>
                <w:rFonts w:hint="default" w:ascii="Times New Roman" w:hAnsi="Times New Roman" w:eastAsia="宋体" w:cs="Times New Roman"/>
                <w:bCs/>
                <w:color w:val="auto"/>
                <w:kern w:val="0"/>
                <w:sz w:val="24"/>
                <w:szCs w:val="24"/>
                <w:highlight w:val="none"/>
                <w:u w:val="none"/>
                <w:lang w:eastAsia="zh-CN"/>
              </w:rPr>
              <w:t xml:space="preserve">108°41′0.355″ </w:t>
            </w:r>
            <w:r>
              <w:rPr>
                <w:rFonts w:hint="default" w:ascii="Times New Roman" w:hAnsi="Times New Roman" w:eastAsia="宋体" w:cs="Times New Roman"/>
                <w:bCs/>
                <w:color w:val="auto"/>
                <w:kern w:val="0"/>
                <w:sz w:val="24"/>
                <w:szCs w:val="24"/>
                <w:highlight w:val="none"/>
                <w:u w:val="none"/>
              </w:rPr>
              <w:t>，</w:t>
            </w:r>
            <w:r>
              <w:rPr>
                <w:rFonts w:hint="default" w:ascii="Times New Roman" w:hAnsi="Times New Roman" w:eastAsia="宋体" w:cs="Times New Roman"/>
                <w:color w:val="auto"/>
                <w:kern w:val="0"/>
                <w:sz w:val="24"/>
                <w:szCs w:val="24"/>
                <w:highlight w:val="none"/>
              </w:rPr>
              <w:t>北</w:t>
            </w:r>
            <w:r>
              <w:rPr>
                <w:rFonts w:hint="default" w:ascii="Times New Roman" w:hAnsi="Times New Roman" w:eastAsia="宋体" w:cs="Times New Roman"/>
                <w:bCs/>
                <w:color w:val="auto"/>
                <w:kern w:val="0"/>
                <w:sz w:val="24"/>
                <w:szCs w:val="24"/>
                <w:highlight w:val="none"/>
                <w:u w:val="none"/>
                <w:lang w:val="en-US" w:eastAsia="zh-CN"/>
              </w:rPr>
              <w:t>纬34° 13′31.482″ ，</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东临CXG东南三路，南侧间隔创智路为空地，西侧为空场地，北邻西咸新区聚兴实业有限公司</w:t>
            </w:r>
            <w:r>
              <w:rPr>
                <w:rFonts w:hint="default" w:ascii="Times New Roman" w:hAnsi="Times New Roman" w:eastAsia="宋体" w:cs="Times New Roman"/>
                <w:color w:val="auto"/>
                <w:sz w:val="24"/>
                <w:szCs w:val="24"/>
                <w:highlight w:val="none"/>
                <w:lang w:val="en-US" w:eastAsia="zh-CN"/>
              </w:rPr>
              <w:t>。项目地理位置、四邻关系见附图</w:t>
            </w:r>
            <w:r>
              <w:rPr>
                <w:rFonts w:hint="default" w:ascii="Times New Roman" w:hAnsi="Times New Roman" w:eastAsia="宋体" w:cs="Times New Roman"/>
                <w:color w:val="auto"/>
                <w:sz w:val="24"/>
                <w:szCs w:val="24"/>
                <w:highlight w:val="none"/>
                <w:lang w:val="en-US" w:eastAsia="zh-CN"/>
              </w:rPr>
              <w:t>。</w:t>
            </w:r>
          </w:p>
          <w:p w14:paraId="39450B3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主要</w:t>
            </w:r>
            <w:r>
              <w:rPr>
                <w:rFonts w:hint="default" w:ascii="Times New Roman" w:hAnsi="Times New Roman" w:eastAsia="宋体" w:cs="Times New Roman"/>
                <w:b/>
                <w:bCs/>
                <w:color w:val="auto"/>
                <w:sz w:val="24"/>
                <w:szCs w:val="24"/>
                <w:highlight w:val="none"/>
              </w:rPr>
              <w:t>建设内容</w:t>
            </w:r>
          </w:p>
          <w:p w14:paraId="05D05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占地约55亩，拟建设具有国际先进水平高温钛合金熔炼示范生产基地，建设内容有一期1号生产厂房、二期2号厂房、三期科研实验楼及其他配套设施。形成年产</w:t>
            </w:r>
            <w:r>
              <w:rPr>
                <w:rFonts w:hint="eastAsia" w:cs="Times New Roman"/>
                <w:color w:val="auto"/>
                <w:sz w:val="24"/>
                <w:szCs w:val="24"/>
                <w:highlight w:val="none"/>
                <w:lang w:val="en-US" w:eastAsia="zh-CN"/>
              </w:rPr>
              <w:t>7700吨钛锭</w:t>
            </w:r>
            <w:r>
              <w:rPr>
                <w:rFonts w:hint="default" w:ascii="Times New Roman" w:hAnsi="Times New Roman" w:eastAsia="宋体" w:cs="Times New Roman"/>
                <w:color w:val="auto"/>
                <w:sz w:val="24"/>
                <w:szCs w:val="24"/>
                <w:highlight w:val="none"/>
                <w:lang w:val="en-US" w:eastAsia="zh-CN"/>
              </w:rPr>
              <w:t>的生产规模。</w:t>
            </w:r>
          </w:p>
          <w:p w14:paraId="1CD52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rPr>
              <w:t>本</w:t>
            </w:r>
            <w:r>
              <w:rPr>
                <w:rFonts w:hint="default" w:ascii="Times New Roman" w:hAnsi="Times New Roman" w:eastAsia="宋体" w:cs="Times New Roman"/>
                <w:color w:val="auto"/>
                <w:kern w:val="0"/>
                <w:sz w:val="24"/>
                <w:szCs w:val="24"/>
                <w:highlight w:val="none"/>
              </w:rPr>
              <w:t>项目组成表见表</w:t>
            </w:r>
            <w:r>
              <w:rPr>
                <w:rFonts w:hint="default" w:ascii="Times New Roman" w:hAnsi="Times New Roman" w:eastAsia="宋体" w:cs="Times New Roman"/>
                <w:color w:val="auto"/>
                <w:kern w:val="0"/>
                <w:sz w:val="24"/>
                <w:szCs w:val="24"/>
                <w:highlight w:val="none"/>
                <w:lang w:val="en-US" w:eastAsia="zh-CN"/>
              </w:rPr>
              <w:t>2-1</w:t>
            </w:r>
            <w:r>
              <w:rPr>
                <w:rFonts w:hint="default" w:ascii="Times New Roman" w:hAnsi="Times New Roman" w:eastAsia="宋体" w:cs="Times New Roman"/>
                <w:color w:val="auto"/>
                <w:kern w:val="0"/>
                <w:sz w:val="24"/>
                <w:szCs w:val="24"/>
                <w:highlight w:val="none"/>
              </w:rPr>
              <w:t>。</w:t>
            </w:r>
          </w:p>
          <w:p w14:paraId="6660AA2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2-1</w:t>
            </w:r>
            <w:r>
              <w:rPr>
                <w:rFonts w:hint="default" w:ascii="Times New Roman" w:hAnsi="Times New Roman" w:eastAsia="宋体" w:cs="Times New Roman"/>
                <w:b/>
                <w:bCs w:val="0"/>
                <w:color w:val="auto"/>
                <w:sz w:val="21"/>
                <w:szCs w:val="21"/>
                <w:highlight w:val="none"/>
              </w:rPr>
              <w:t xml:space="preserve">  项目</w:t>
            </w:r>
            <w:r>
              <w:rPr>
                <w:rFonts w:hint="default" w:ascii="Times New Roman" w:hAnsi="Times New Roman" w:eastAsia="宋体" w:cs="Times New Roman"/>
                <w:b/>
                <w:bCs w:val="0"/>
                <w:color w:val="auto"/>
                <w:sz w:val="21"/>
                <w:szCs w:val="21"/>
                <w:highlight w:val="none"/>
                <w:lang w:val="en-US" w:eastAsia="zh-CN"/>
              </w:rPr>
              <w:t>主要建设内容</w:t>
            </w:r>
            <w:r>
              <w:rPr>
                <w:rFonts w:hint="default" w:ascii="Times New Roman" w:hAnsi="Times New Roman" w:eastAsia="宋体" w:cs="Times New Roman"/>
                <w:b/>
                <w:bCs w:val="0"/>
                <w:color w:val="auto"/>
                <w:sz w:val="21"/>
                <w:szCs w:val="21"/>
                <w:highlight w:val="none"/>
              </w:rPr>
              <w:t>组成情况一览表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85" w:type="dxa"/>
                <w:left w:w="85" w:type="dxa"/>
                <w:bottom w:w="85" w:type="dxa"/>
                <w:right w:w="85" w:type="dxa"/>
              </w:tblCellMar>
            </w:tblPr>
            <w:tblGrid>
              <w:gridCol w:w="1177"/>
              <w:gridCol w:w="990"/>
              <w:gridCol w:w="5335"/>
              <w:gridCol w:w="856"/>
            </w:tblGrid>
            <w:tr w14:paraId="24EFD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noWrap w:val="0"/>
                  <w:vAlign w:val="center"/>
                </w:tcPr>
                <w:p w14:paraId="1331AC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工程分类</w:t>
                  </w:r>
                </w:p>
              </w:tc>
              <w:tc>
                <w:tcPr>
                  <w:tcW w:w="3783" w:type="pct"/>
                  <w:gridSpan w:val="2"/>
                  <w:noWrap w:val="0"/>
                  <w:vAlign w:val="center"/>
                </w:tcPr>
                <w:p w14:paraId="09A500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w:t>
                  </w:r>
                </w:p>
              </w:tc>
              <w:tc>
                <w:tcPr>
                  <w:tcW w:w="512" w:type="pct"/>
                  <w:noWrap w:val="0"/>
                  <w:vAlign w:val="center"/>
                </w:tcPr>
                <w:p w14:paraId="0665E3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3E4EC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restart"/>
                  <w:noWrap w:val="0"/>
                  <w:vAlign w:val="center"/>
                </w:tcPr>
                <w:p w14:paraId="5930F1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592" w:type="pct"/>
                  <w:noWrap w:val="0"/>
                  <w:vAlign w:val="center"/>
                </w:tcPr>
                <w:p w14:paraId="3F8477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号厂房</w:t>
                  </w:r>
                </w:p>
              </w:tc>
              <w:tc>
                <w:tcPr>
                  <w:tcW w:w="3191" w:type="pct"/>
                  <w:tcBorders>
                    <w:bottom w:val="single" w:color="auto" w:sz="4" w:space="0"/>
                  </w:tcBorders>
                  <w:noWrap w:val="0"/>
                  <w:vAlign w:val="center"/>
                </w:tcPr>
                <w:p w14:paraId="74CB58A4">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位于厂区北部区域，建筑面积14461.35m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，厂房为单层钢结构，厂房高度为23.3m。厂房</w:t>
                  </w:r>
                  <w:r>
                    <w:rPr>
                      <w:rFonts w:hint="default" w:ascii="Times New Roman" w:hAnsi="Times New Roman" w:cs="Times New Roman"/>
                      <w:color w:val="auto"/>
                      <w:sz w:val="21"/>
                      <w:szCs w:val="21"/>
                      <w:highlight w:val="none"/>
                      <w:lang w:val="en-US" w:eastAsia="zh-CN"/>
                    </w:rPr>
                    <w:t>内</w:t>
                  </w:r>
                  <w:r>
                    <w:rPr>
                      <w:rFonts w:hint="default" w:ascii="Times New Roman" w:hAnsi="Times New Roman" w:eastAsia="宋体" w:cs="Times New Roman"/>
                      <w:color w:val="auto"/>
                      <w:sz w:val="21"/>
                      <w:szCs w:val="21"/>
                      <w:highlight w:val="none"/>
                      <w:lang w:val="en-US" w:eastAsia="zh-CN"/>
                    </w:rPr>
                    <w:t>建设压制电极区、电极焊接区、纯钛锭</w:t>
                  </w:r>
                  <w:bookmarkStart w:id="8" w:name="_GoBack"/>
                  <w:bookmarkEnd w:id="8"/>
                  <w:r>
                    <w:rPr>
                      <w:rFonts w:hint="default" w:ascii="Times New Roman" w:hAnsi="Times New Roman" w:eastAsia="宋体" w:cs="Times New Roman"/>
                      <w:color w:val="auto"/>
                      <w:sz w:val="21"/>
                      <w:szCs w:val="21"/>
                      <w:highlight w:val="none"/>
                      <w:lang w:val="en-US" w:eastAsia="zh-CN"/>
                    </w:rPr>
                    <w:t>熔化区</w:t>
                  </w:r>
                  <w:r>
                    <w:rPr>
                      <w:rFonts w:hint="default" w:ascii="Times New Roman" w:hAnsi="Times New Roman"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lang w:val="en-US" w:eastAsia="zh-CN"/>
                    </w:rPr>
                    <w:t>厂房内布置的生产设备主要有油压机、真空等离子弧焊机、真空自耗电弧炉</w:t>
                  </w:r>
                  <w:r>
                    <w:rPr>
                      <w:rFonts w:hint="default" w:ascii="Times New Roman" w:hAnsi="Times New Roman" w:cs="Times New Roman"/>
                      <w:color w:val="auto"/>
                      <w:sz w:val="21"/>
                      <w:szCs w:val="21"/>
                      <w:highlight w:val="none"/>
                      <w:lang w:val="en-US" w:eastAsia="zh-CN"/>
                    </w:rPr>
                    <w:t>等设备，用于钛合金熔炼铸锭及铸锭加工。</w:t>
                  </w:r>
                </w:p>
              </w:tc>
              <w:tc>
                <w:tcPr>
                  <w:tcW w:w="512" w:type="pct"/>
                  <w:tcBorders>
                    <w:bottom w:val="single" w:color="auto" w:sz="4" w:space="0"/>
                  </w:tcBorders>
                  <w:noWrap w:val="0"/>
                  <w:vAlign w:val="center"/>
                </w:tcPr>
                <w:p w14:paraId="40983A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2912D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6297E8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noWrap w:val="0"/>
                  <w:vAlign w:val="center"/>
                </w:tcPr>
                <w:p w14:paraId="38499F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2号厂房</w:t>
                  </w:r>
                </w:p>
              </w:tc>
              <w:tc>
                <w:tcPr>
                  <w:tcW w:w="3191" w:type="pct"/>
                  <w:tcBorders>
                    <w:bottom w:val="single" w:color="auto" w:sz="4" w:space="0"/>
                  </w:tcBorders>
                  <w:noWrap w:val="0"/>
                  <w:vAlign w:val="center"/>
                </w:tcPr>
                <w:p w14:paraId="348479D0">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w:t>
                  </w:r>
                  <w:r>
                    <w:rPr>
                      <w:rFonts w:hint="default" w:ascii="Times New Roman" w:hAnsi="Times New Roman" w:cs="Times New Roman"/>
                      <w:color w:val="auto"/>
                      <w:sz w:val="21"/>
                      <w:szCs w:val="21"/>
                      <w:highlight w:val="none"/>
                      <w:lang w:val="en-US" w:eastAsia="zh-CN"/>
                    </w:rPr>
                    <w:t>厂区西南侧，占地面积2261.6m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，建筑面积13758.65m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，放置车床、切割机等设备，用于金属材料样品预处理加工。</w:t>
                  </w:r>
                </w:p>
              </w:tc>
              <w:tc>
                <w:tcPr>
                  <w:tcW w:w="512" w:type="pct"/>
                  <w:tcBorders>
                    <w:bottom w:val="single" w:color="auto" w:sz="4" w:space="0"/>
                  </w:tcBorders>
                  <w:noWrap w:val="0"/>
                  <w:vAlign w:val="center"/>
                </w:tcPr>
                <w:p w14:paraId="23066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147C7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7BF7E8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noWrap w:val="0"/>
                  <w:vAlign w:val="center"/>
                </w:tcPr>
                <w:p w14:paraId="7AE802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科研实验楼</w:t>
                  </w:r>
                </w:p>
              </w:tc>
              <w:tc>
                <w:tcPr>
                  <w:tcW w:w="3191" w:type="pct"/>
                  <w:tcBorders>
                    <w:bottom w:val="single" w:color="auto" w:sz="4" w:space="0"/>
                  </w:tcBorders>
                  <w:noWrap w:val="0"/>
                  <w:vAlign w:val="center"/>
                </w:tcPr>
                <w:p w14:paraId="647163C6">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w:t>
                  </w:r>
                  <w:r>
                    <w:rPr>
                      <w:rFonts w:hint="default" w:ascii="Times New Roman" w:hAnsi="Times New Roman" w:cs="Times New Roman"/>
                      <w:color w:val="auto"/>
                      <w:sz w:val="21"/>
                      <w:szCs w:val="21"/>
                      <w:highlight w:val="none"/>
                      <w:lang w:val="en-US" w:eastAsia="zh-CN"/>
                    </w:rPr>
                    <w:t>2号厂房东</w:t>
                  </w:r>
                  <w:r>
                    <w:rPr>
                      <w:rFonts w:hint="default" w:ascii="Times New Roman" w:hAnsi="Times New Roman" w:eastAsia="宋体" w:cs="Times New Roman"/>
                      <w:color w:val="auto"/>
                      <w:sz w:val="21"/>
                      <w:szCs w:val="21"/>
                      <w:highlight w:val="none"/>
                      <w:lang w:val="en-US" w:eastAsia="zh-CN"/>
                    </w:rPr>
                    <w:t>侧，6F，占地面积2261.6m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，建筑面积11582.55m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。实验楼内放置电感耦合等离子体发射光谱仪、氧氮氢分析仪置电子万能材料试验等设备，用于铸锭化学元素分析及力学性能检测。</w:t>
                  </w:r>
                </w:p>
              </w:tc>
              <w:tc>
                <w:tcPr>
                  <w:tcW w:w="512" w:type="pct"/>
                  <w:tcBorders>
                    <w:bottom w:val="single" w:color="auto" w:sz="4" w:space="0"/>
                  </w:tcBorders>
                  <w:noWrap w:val="0"/>
                  <w:vAlign w:val="center"/>
                </w:tcPr>
                <w:p w14:paraId="2CCB2D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0B5FE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229" w:hRule="atLeast"/>
                <w:jc w:val="center"/>
              </w:trPr>
              <w:tc>
                <w:tcPr>
                  <w:tcW w:w="704" w:type="pct"/>
                  <w:vMerge w:val="restart"/>
                  <w:noWrap w:val="0"/>
                  <w:vAlign w:val="center"/>
                </w:tcPr>
                <w:p w14:paraId="243865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辅助工程</w:t>
                  </w:r>
                </w:p>
              </w:tc>
              <w:tc>
                <w:tcPr>
                  <w:tcW w:w="592" w:type="pct"/>
                  <w:noWrap w:val="0"/>
                  <w:vAlign w:val="center"/>
                </w:tcPr>
                <w:p w14:paraId="5EC489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办公区</w:t>
                  </w:r>
                </w:p>
              </w:tc>
              <w:tc>
                <w:tcPr>
                  <w:tcW w:w="3191" w:type="pct"/>
                  <w:tcBorders>
                    <w:bottom w:val="single" w:color="auto" w:sz="4" w:space="0"/>
                  </w:tcBorders>
                  <w:noWrap w:val="0"/>
                  <w:vAlign w:val="center"/>
                </w:tcPr>
                <w:p w14:paraId="604418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w:t>
                  </w:r>
                  <w:r>
                    <w:rPr>
                      <w:rFonts w:hint="default" w:ascii="Times New Roman" w:hAnsi="Times New Roman" w:cs="Times New Roman"/>
                      <w:color w:val="auto"/>
                      <w:sz w:val="21"/>
                      <w:szCs w:val="21"/>
                      <w:highlight w:val="none"/>
                      <w:lang w:val="en-US" w:eastAsia="zh-CN"/>
                    </w:rPr>
                    <w:t>1号厂房</w:t>
                  </w:r>
                  <w:r>
                    <w:rPr>
                      <w:rFonts w:hint="default" w:ascii="Times New Roman" w:hAnsi="Times New Roman" w:eastAsia="宋体" w:cs="Times New Roman"/>
                      <w:color w:val="auto"/>
                      <w:sz w:val="21"/>
                      <w:szCs w:val="21"/>
                      <w:highlight w:val="none"/>
                      <w:lang w:val="en-US" w:eastAsia="zh-CN"/>
                    </w:rPr>
                    <w:t>内的</w:t>
                  </w:r>
                  <w:r>
                    <w:rPr>
                      <w:rFonts w:hint="default" w:ascii="Times New Roman" w:hAnsi="Times New Roman" w:cs="Times New Roman"/>
                      <w:color w:val="auto"/>
                      <w:sz w:val="21"/>
                      <w:szCs w:val="21"/>
                      <w:highlight w:val="none"/>
                      <w:lang w:val="en-US" w:eastAsia="zh-CN"/>
                    </w:rPr>
                    <w:t>东南侧</w:t>
                  </w:r>
                  <w:r>
                    <w:rPr>
                      <w:rFonts w:hint="default" w:ascii="Times New Roman" w:hAnsi="Times New Roman" w:eastAsia="宋体" w:cs="Times New Roman"/>
                      <w:color w:val="auto"/>
                      <w:sz w:val="21"/>
                      <w:szCs w:val="21"/>
                      <w:highlight w:val="none"/>
                      <w:lang w:val="en-US" w:eastAsia="zh-CN"/>
                    </w:rPr>
                    <w:t>，面积约800m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，用于员工办公</w:t>
                  </w:r>
                  <w:r>
                    <w:rPr>
                      <w:rFonts w:hint="default" w:ascii="Times New Roman" w:hAnsi="Times New Roman" w:eastAsia="宋体" w:cs="Times New Roman"/>
                      <w:color w:val="auto"/>
                      <w:sz w:val="21"/>
                      <w:szCs w:val="21"/>
                      <w:highlight w:val="none"/>
                      <w:lang w:val="en-US" w:eastAsia="zh-CN"/>
                    </w:rPr>
                    <w:t>。</w:t>
                  </w:r>
                </w:p>
              </w:tc>
              <w:tc>
                <w:tcPr>
                  <w:tcW w:w="512" w:type="pct"/>
                  <w:noWrap w:val="0"/>
                  <w:vAlign w:val="center"/>
                </w:tcPr>
                <w:p w14:paraId="7D92BE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1F2F9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229" w:hRule="atLeast"/>
                <w:jc w:val="center"/>
              </w:trPr>
              <w:tc>
                <w:tcPr>
                  <w:tcW w:w="704" w:type="pct"/>
                  <w:vMerge w:val="continue"/>
                  <w:noWrap w:val="0"/>
                  <w:vAlign w:val="center"/>
                </w:tcPr>
                <w:p w14:paraId="05D87E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2" w:type="pct"/>
                  <w:noWrap w:val="0"/>
                  <w:vAlign w:val="center"/>
                </w:tcPr>
                <w:p w14:paraId="19FE81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化粪池</w:t>
                  </w:r>
                </w:p>
              </w:tc>
              <w:tc>
                <w:tcPr>
                  <w:tcW w:w="3191" w:type="pct"/>
                  <w:tcBorders>
                    <w:bottom w:val="single" w:color="auto" w:sz="4" w:space="0"/>
                  </w:tcBorders>
                  <w:noWrap w:val="0"/>
                  <w:vAlign w:val="center"/>
                </w:tcPr>
                <w:p w14:paraId="10A7D4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号厂房</w:t>
                  </w:r>
                  <w:r>
                    <w:rPr>
                      <w:rFonts w:hint="default" w:ascii="Times New Roman" w:hAnsi="Times New Roman" w:cs="Times New Roman"/>
                      <w:color w:val="auto"/>
                      <w:spacing w:val="-1"/>
                      <w:sz w:val="21"/>
                      <w:szCs w:val="21"/>
                      <w:highlight w:val="none"/>
                    </w:rPr>
                    <w:t>西北</w:t>
                  </w:r>
                  <w:r>
                    <w:rPr>
                      <w:rFonts w:hint="default" w:ascii="Times New Roman" w:hAnsi="Times New Roman" w:cs="Times New Roman"/>
                      <w:color w:val="auto"/>
                      <w:spacing w:val="-1"/>
                      <w:sz w:val="21"/>
                      <w:szCs w:val="21"/>
                      <w:highlight w:val="none"/>
                      <w:lang w:val="en-US" w:eastAsia="zh-CN"/>
                    </w:rPr>
                    <w:t>侧，溶容积为20m</w:t>
                  </w:r>
                  <w:r>
                    <w:rPr>
                      <w:rFonts w:hint="default" w:ascii="Times New Roman" w:hAnsi="Times New Roman" w:cs="Times New Roman"/>
                      <w:color w:val="auto"/>
                      <w:spacing w:val="-1"/>
                      <w:sz w:val="21"/>
                      <w:szCs w:val="21"/>
                      <w:highlight w:val="none"/>
                      <w:vertAlign w:val="superscript"/>
                      <w:lang w:val="en-US" w:eastAsia="zh-CN"/>
                    </w:rPr>
                    <w:t>3</w:t>
                  </w:r>
                </w:p>
              </w:tc>
              <w:tc>
                <w:tcPr>
                  <w:tcW w:w="512" w:type="pct"/>
                  <w:noWrap w:val="0"/>
                  <w:vAlign w:val="center"/>
                </w:tcPr>
                <w:p w14:paraId="4260F7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48E15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restart"/>
                  <w:noWrap w:val="0"/>
                  <w:vAlign w:val="center"/>
                </w:tcPr>
                <w:p w14:paraId="065530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储运工程</w:t>
                  </w:r>
                </w:p>
              </w:tc>
              <w:tc>
                <w:tcPr>
                  <w:tcW w:w="592" w:type="pct"/>
                  <w:noWrap w:val="0"/>
                  <w:vAlign w:val="center"/>
                </w:tcPr>
                <w:p w14:paraId="76637350">
                  <w:pPr>
                    <w:keepNext w:val="0"/>
                    <w:keepLines w:val="0"/>
                    <w:suppressLineNumbers w:val="0"/>
                    <w:spacing w:before="0" w:beforeAutospacing="0" w:after="0" w:afterAutospacing="0"/>
                    <w:ind w:left="99" w:leftChars="0" w:right="-51" w:rightChars="0" w:hanging="99" w:hangingChars="45"/>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6"/>
                      <w:sz w:val="21"/>
                      <w:szCs w:val="21"/>
                      <w:highlight w:val="none"/>
                    </w:rPr>
                    <w:t>原料</w:t>
                  </w:r>
                  <w:r>
                    <w:rPr>
                      <w:rFonts w:hint="default" w:ascii="Times New Roman" w:hAnsi="Times New Roman" w:cs="Times New Roman"/>
                      <w:color w:val="auto"/>
                      <w:sz w:val="21"/>
                      <w:szCs w:val="21"/>
                      <w:highlight w:val="none"/>
                    </w:rPr>
                    <w:t>区</w:t>
                  </w:r>
                </w:p>
              </w:tc>
              <w:tc>
                <w:tcPr>
                  <w:tcW w:w="3191" w:type="pct"/>
                  <w:noWrap w:val="0"/>
                  <w:vAlign w:val="center"/>
                </w:tcPr>
                <w:p w14:paraId="35B1CCE2">
                  <w:pPr>
                    <w:keepNext w:val="0"/>
                    <w:keepLines w:val="0"/>
                    <w:suppressLineNumbers w:val="0"/>
                    <w:autoSpaceDE w:val="0"/>
                    <w:autoSpaceDN w:val="0"/>
                    <w:adjustRightInd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位于</w:t>
                  </w:r>
                  <w:r>
                    <w:rPr>
                      <w:rFonts w:hint="default" w:ascii="Times New Roman" w:hAnsi="Times New Roman" w:cs="Times New Roman"/>
                      <w:color w:val="auto"/>
                      <w:sz w:val="21"/>
                      <w:szCs w:val="21"/>
                      <w:highlight w:val="none"/>
                      <w:lang w:eastAsia="zh-CN"/>
                    </w:rPr>
                    <w:t>1号</w:t>
                  </w:r>
                  <w:r>
                    <w:rPr>
                      <w:rFonts w:hint="default" w:ascii="Times New Roman" w:hAnsi="Times New Roman" w:cs="Times New Roman"/>
                      <w:color w:val="auto"/>
                      <w:sz w:val="21"/>
                      <w:szCs w:val="21"/>
                      <w:highlight w:val="none"/>
                      <w:lang w:eastAsia="zh-CN"/>
                    </w:rPr>
                    <w:t>厂房</w:t>
                  </w:r>
                  <w:r>
                    <w:rPr>
                      <w:rFonts w:hint="default" w:ascii="Times New Roman" w:hAnsi="Times New Roman" w:eastAsia="宋体" w:cs="Times New Roman"/>
                      <w:color w:val="auto"/>
                      <w:sz w:val="21"/>
                      <w:szCs w:val="21"/>
                      <w:highlight w:val="none"/>
                    </w:rPr>
                    <w:t>内的</w:t>
                  </w:r>
                  <w:r>
                    <w:rPr>
                      <w:rFonts w:hint="default" w:ascii="Times New Roman" w:hAnsi="Times New Roman" w:cs="Times New Roman"/>
                      <w:color w:val="auto"/>
                      <w:sz w:val="21"/>
                      <w:szCs w:val="21"/>
                      <w:highlight w:val="none"/>
                      <w:lang w:val="en-US" w:eastAsia="zh-CN"/>
                    </w:rPr>
                    <w:t>西南侧</w:t>
                  </w:r>
                  <w:r>
                    <w:rPr>
                      <w:rFonts w:hint="default" w:ascii="Times New Roman" w:hAnsi="Times New Roman" w:eastAsia="宋体" w:cs="Times New Roman"/>
                      <w:color w:val="auto"/>
                      <w:sz w:val="21"/>
                      <w:szCs w:val="21"/>
                      <w:highlight w:val="none"/>
                    </w:rPr>
                    <w:t>，建筑面积1000m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，用于存放生产所需要的桶装原料</w:t>
                  </w:r>
                  <w:r>
                    <w:rPr>
                      <w:rFonts w:hint="default" w:ascii="Times New Roman" w:hAnsi="Times New Roman" w:cs="Times New Roman"/>
                      <w:color w:val="auto"/>
                      <w:sz w:val="21"/>
                      <w:szCs w:val="21"/>
                      <w:highlight w:val="none"/>
                      <w:lang w:eastAsia="zh-CN"/>
                    </w:rPr>
                    <w:t>。</w:t>
                  </w:r>
                </w:p>
              </w:tc>
              <w:tc>
                <w:tcPr>
                  <w:tcW w:w="512" w:type="pct"/>
                  <w:noWrap w:val="0"/>
                  <w:vAlign w:val="center"/>
                </w:tcPr>
                <w:p w14:paraId="6B3D90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新建</w:t>
                  </w:r>
                </w:p>
              </w:tc>
            </w:tr>
            <w:tr w14:paraId="09D61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6FC62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2" w:type="pct"/>
                  <w:noWrap w:val="0"/>
                  <w:vAlign w:val="center"/>
                </w:tcPr>
                <w:p w14:paraId="5E65F167">
                  <w:pPr>
                    <w:keepNext w:val="0"/>
                    <w:keepLines w:val="0"/>
                    <w:suppressLineNumbers w:val="0"/>
                    <w:spacing w:before="0" w:beforeAutospacing="0" w:after="0" w:afterAutospacing="0"/>
                    <w:ind w:left="99" w:leftChars="0" w:right="-51" w:rightChars="0" w:hanging="99" w:hangingChars="45"/>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6"/>
                      <w:sz w:val="21"/>
                      <w:szCs w:val="21"/>
                      <w:highlight w:val="none"/>
                    </w:rPr>
                    <w:t>成品</w:t>
                  </w:r>
                  <w:r>
                    <w:rPr>
                      <w:rFonts w:hint="default" w:ascii="Times New Roman" w:hAnsi="Times New Roman" w:cs="Times New Roman"/>
                      <w:color w:val="auto"/>
                      <w:sz w:val="21"/>
                      <w:szCs w:val="21"/>
                      <w:highlight w:val="none"/>
                    </w:rPr>
                    <w:t>区</w:t>
                  </w:r>
                </w:p>
              </w:tc>
              <w:tc>
                <w:tcPr>
                  <w:tcW w:w="3191" w:type="pct"/>
                  <w:noWrap w:val="0"/>
                  <w:vAlign w:val="center"/>
                </w:tcPr>
                <w:p w14:paraId="5FC741C5">
                  <w:pPr>
                    <w:pStyle w:val="104"/>
                    <w:keepNext w:val="0"/>
                    <w:keepLines w:val="0"/>
                    <w:suppressLineNumbers w:val="0"/>
                    <w:spacing w:before="52" w:beforeAutospacing="0" w:after="0" w:afterAutospacing="0" w:line="240" w:lineRule="auto"/>
                    <w:ind w:left="0" w:right="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位于</w:t>
                  </w:r>
                  <w:r>
                    <w:rPr>
                      <w:rFonts w:hint="default" w:ascii="Times New Roman" w:hAnsi="Times New Roman" w:cs="Times New Roman"/>
                      <w:color w:val="auto"/>
                      <w:sz w:val="21"/>
                      <w:szCs w:val="21"/>
                      <w:highlight w:val="none"/>
                      <w:lang w:eastAsia="zh-CN"/>
                    </w:rPr>
                    <w:t>1号</w:t>
                  </w:r>
                  <w:r>
                    <w:rPr>
                      <w:rFonts w:hint="default" w:ascii="Times New Roman" w:hAnsi="Times New Roman" w:cs="Times New Roman"/>
                      <w:color w:val="auto"/>
                      <w:kern w:val="2"/>
                      <w:sz w:val="21"/>
                      <w:szCs w:val="21"/>
                      <w:highlight w:val="none"/>
                      <w:lang w:val="en-US" w:eastAsia="zh-CN" w:bidi="ar-SA"/>
                    </w:rPr>
                    <w:t>厂房</w:t>
                  </w:r>
                  <w:r>
                    <w:rPr>
                      <w:rFonts w:hint="default" w:ascii="Times New Roman" w:hAnsi="Times New Roman" w:eastAsia="宋体" w:cs="Times New Roman"/>
                      <w:color w:val="auto"/>
                      <w:kern w:val="2"/>
                      <w:sz w:val="21"/>
                      <w:szCs w:val="21"/>
                      <w:highlight w:val="none"/>
                      <w:lang w:val="en-US" w:eastAsia="zh-CN" w:bidi="ar-SA"/>
                    </w:rPr>
                    <w:t>原料</w:t>
                  </w:r>
                  <w:r>
                    <w:rPr>
                      <w:rFonts w:hint="default" w:ascii="Times New Roman" w:hAnsi="Times New Roman" w:cs="Times New Roman"/>
                      <w:color w:val="auto"/>
                      <w:kern w:val="2"/>
                      <w:sz w:val="21"/>
                      <w:szCs w:val="21"/>
                      <w:highlight w:val="none"/>
                      <w:lang w:val="en-US" w:eastAsia="zh-CN" w:bidi="ar-SA"/>
                    </w:rPr>
                    <w:t>区</w:t>
                  </w:r>
                  <w:r>
                    <w:rPr>
                      <w:rFonts w:hint="default" w:ascii="Times New Roman" w:hAnsi="Times New Roman" w:eastAsia="宋体" w:cs="Times New Roman"/>
                      <w:color w:val="auto"/>
                      <w:kern w:val="2"/>
                      <w:sz w:val="21"/>
                      <w:szCs w:val="21"/>
                      <w:highlight w:val="none"/>
                      <w:lang w:val="en-US" w:eastAsia="zh-CN" w:bidi="ar-SA"/>
                    </w:rPr>
                    <w:t>的东侧，建筑面积1000m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，用于存放钛锭成品</w:t>
                  </w:r>
                  <w:r>
                    <w:rPr>
                      <w:rFonts w:hint="default" w:ascii="Times New Roman" w:hAnsi="Times New Roman" w:cs="Times New Roman"/>
                      <w:color w:val="auto"/>
                      <w:kern w:val="2"/>
                      <w:sz w:val="21"/>
                      <w:szCs w:val="21"/>
                      <w:highlight w:val="none"/>
                      <w:lang w:val="en-US" w:eastAsia="zh-CN" w:bidi="ar-SA"/>
                    </w:rPr>
                    <w:t>。</w:t>
                  </w:r>
                </w:p>
              </w:tc>
              <w:tc>
                <w:tcPr>
                  <w:tcW w:w="512" w:type="pct"/>
                  <w:noWrap w:val="0"/>
                  <w:vAlign w:val="center"/>
                </w:tcPr>
                <w:p w14:paraId="06BED7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1D6CBF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1F1968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2" w:type="pct"/>
                  <w:vMerge w:val="restart"/>
                  <w:noWrap w:val="0"/>
                  <w:vAlign w:val="center"/>
                </w:tcPr>
                <w:p w14:paraId="4B1B3DD2">
                  <w:pPr>
                    <w:keepNext w:val="0"/>
                    <w:keepLines w:val="0"/>
                    <w:suppressLineNumbers w:val="0"/>
                    <w:spacing w:before="0" w:beforeAutospacing="0" w:after="0" w:afterAutospacing="0" w:line="320" w:lineRule="exact"/>
                    <w:ind w:left="94" w:leftChars="0" w:right="-51" w:rightChars="0" w:hanging="94" w:hangingChars="45"/>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p w14:paraId="52643E9E">
                  <w:pPr>
                    <w:keepNext w:val="0"/>
                    <w:keepLines w:val="0"/>
                    <w:suppressLineNumbers w:val="0"/>
                    <w:spacing w:before="0" w:beforeAutospacing="0" w:after="0" w:afterAutospacing="0" w:line="320" w:lineRule="exact"/>
                    <w:ind w:left="94" w:leftChars="0" w:right="-51" w:rightChars="0" w:hanging="94" w:hangingChars="45"/>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贮存区</w:t>
                  </w:r>
                </w:p>
              </w:tc>
              <w:tc>
                <w:tcPr>
                  <w:tcW w:w="3191" w:type="pct"/>
                  <w:noWrap w:val="0"/>
                  <w:vAlign w:val="center"/>
                </w:tcPr>
                <w:p w14:paraId="0D997E9A">
                  <w:pPr>
                    <w:keepNext w:val="0"/>
                    <w:keepLines w:val="0"/>
                    <w:suppressLineNumbers w:val="0"/>
                    <w:autoSpaceDE w:val="0"/>
                    <w:autoSpaceDN w:val="0"/>
                    <w:adjustRightInd w:val="0"/>
                    <w:spacing w:before="0" w:beforeAutospacing="0" w:after="0" w:afterAutospacing="0" w:line="240" w:lineRule="auto"/>
                    <w:ind w:left="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一般固废暂存区位于</w:t>
                  </w:r>
                  <w:r>
                    <w:rPr>
                      <w:rFonts w:hint="default" w:ascii="Times New Roman" w:hAnsi="Times New Roman" w:cs="Times New Roman"/>
                      <w:color w:val="auto"/>
                      <w:kern w:val="0"/>
                      <w:sz w:val="21"/>
                      <w:szCs w:val="21"/>
                      <w:highlight w:val="none"/>
                      <w:lang w:val="en-US" w:eastAsia="zh-CN"/>
                    </w:rPr>
                    <w:t>1号厂房</w:t>
                  </w:r>
                  <w:r>
                    <w:rPr>
                      <w:rFonts w:hint="default" w:ascii="Times New Roman" w:hAnsi="Times New Roman" w:eastAsia="宋体" w:cs="Times New Roman"/>
                      <w:color w:val="auto"/>
                      <w:kern w:val="0"/>
                      <w:sz w:val="21"/>
                      <w:szCs w:val="21"/>
                      <w:highlight w:val="none"/>
                      <w:lang w:val="en-US" w:eastAsia="zh-CN"/>
                    </w:rPr>
                    <w:t>外北侧，面积</w:t>
                  </w:r>
                  <w:r>
                    <w:rPr>
                      <w:rFonts w:hint="default" w:ascii="Times New Roman" w:hAnsi="Times New Roman" w:cs="Times New Roman"/>
                      <w:color w:val="auto"/>
                      <w:kern w:val="0"/>
                      <w:sz w:val="21"/>
                      <w:szCs w:val="21"/>
                      <w:highlight w:val="none"/>
                      <w:lang w:val="en-US" w:eastAsia="zh-CN"/>
                    </w:rPr>
                    <w:t>约</w:t>
                  </w:r>
                  <w:r>
                    <w:rPr>
                      <w:rFonts w:hint="default" w:ascii="Times New Roman" w:hAnsi="Times New Roman" w:eastAsia="宋体" w:cs="Times New Roman"/>
                      <w:color w:val="auto"/>
                      <w:kern w:val="0"/>
                      <w:sz w:val="21"/>
                      <w:szCs w:val="21"/>
                      <w:highlight w:val="none"/>
                      <w:lang w:val="en-US" w:eastAsia="zh-CN"/>
                    </w:rPr>
                    <w:t>为300m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cs="Times New Roman"/>
                      <w:color w:val="auto"/>
                      <w:kern w:val="0"/>
                      <w:sz w:val="21"/>
                      <w:szCs w:val="21"/>
                      <w:highlight w:val="none"/>
                      <w:lang w:val="en-US" w:eastAsia="zh-CN"/>
                    </w:rPr>
                    <w:t>，用于存放一般工业固体废物。</w:t>
                  </w:r>
                </w:p>
              </w:tc>
              <w:tc>
                <w:tcPr>
                  <w:tcW w:w="512" w:type="pct"/>
                  <w:noWrap w:val="0"/>
                  <w:vAlign w:val="center"/>
                </w:tcPr>
                <w:p w14:paraId="66A3C5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25D6E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0F8824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2" w:type="pct"/>
                  <w:vMerge w:val="continue"/>
                  <w:noWrap w:val="0"/>
                  <w:vAlign w:val="center"/>
                </w:tcPr>
                <w:p w14:paraId="5C374FF1">
                  <w:pPr>
                    <w:keepNext w:val="0"/>
                    <w:keepLines w:val="0"/>
                    <w:suppressLineNumbers w:val="0"/>
                    <w:spacing w:before="0" w:beforeAutospacing="0" w:after="0" w:afterAutospacing="0" w:line="320" w:lineRule="exact"/>
                    <w:ind w:left="94" w:leftChars="0" w:right="-51" w:rightChars="0" w:hanging="94" w:hangingChars="45"/>
                    <w:jc w:val="center"/>
                    <w:rPr>
                      <w:rFonts w:hint="default" w:ascii="Times New Roman" w:hAnsi="Times New Roman" w:eastAsia="宋体" w:cs="Times New Roman"/>
                      <w:color w:val="auto"/>
                      <w:kern w:val="2"/>
                      <w:sz w:val="21"/>
                      <w:szCs w:val="21"/>
                      <w:highlight w:val="none"/>
                      <w:lang w:val="en-US" w:eastAsia="zh-CN" w:bidi="ar-SA"/>
                    </w:rPr>
                  </w:pPr>
                </w:p>
              </w:tc>
              <w:tc>
                <w:tcPr>
                  <w:tcW w:w="3191" w:type="pct"/>
                  <w:noWrap w:val="0"/>
                  <w:vAlign w:val="center"/>
                </w:tcPr>
                <w:p w14:paraId="7FBE0E0E">
                  <w:pPr>
                    <w:keepNext w:val="0"/>
                    <w:keepLines w:val="0"/>
                    <w:suppressLineNumbers w:val="0"/>
                    <w:spacing w:before="0" w:beforeAutospacing="0" w:after="0" w:afterAutospacing="0" w:line="240" w:lineRule="auto"/>
                    <w:ind w:left="94" w:leftChars="0" w:right="-51" w:rightChars="0" w:hanging="94" w:hangingChars="45"/>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危废</w:t>
                  </w:r>
                  <w:r>
                    <w:rPr>
                      <w:rFonts w:hint="default" w:ascii="Times New Roman" w:hAnsi="Times New Roman" w:eastAsia="宋体" w:cs="Times New Roman"/>
                      <w:color w:val="auto"/>
                      <w:sz w:val="21"/>
                      <w:szCs w:val="21"/>
                      <w:highlight w:val="none"/>
                      <w:lang w:val="en-US" w:eastAsia="zh-CN"/>
                    </w:rPr>
                    <w:t>贮存库</w:t>
                  </w:r>
                  <w:r>
                    <w:rPr>
                      <w:rFonts w:hint="default" w:ascii="Times New Roman" w:hAnsi="Times New Roman" w:eastAsia="宋体" w:cs="Times New Roman"/>
                      <w:color w:val="auto"/>
                      <w:kern w:val="0"/>
                      <w:sz w:val="21"/>
                      <w:szCs w:val="21"/>
                      <w:highlight w:val="none"/>
                      <w:lang w:val="en-US" w:eastAsia="zh-CN"/>
                    </w:rPr>
                    <w:t>位于</w:t>
                  </w:r>
                  <w:r>
                    <w:rPr>
                      <w:rFonts w:hint="default" w:ascii="Times New Roman" w:hAnsi="Times New Roman" w:cs="Times New Roman"/>
                      <w:color w:val="auto"/>
                      <w:kern w:val="0"/>
                      <w:sz w:val="21"/>
                      <w:szCs w:val="21"/>
                      <w:highlight w:val="none"/>
                      <w:lang w:val="en-US" w:eastAsia="zh-CN"/>
                    </w:rPr>
                    <w:t>1号厂房西北</w:t>
                  </w:r>
                  <w:r>
                    <w:rPr>
                      <w:rFonts w:hint="default" w:ascii="Times New Roman" w:hAnsi="Times New Roman" w:cs="Times New Roman"/>
                      <w:color w:val="auto"/>
                      <w:sz w:val="21"/>
                      <w:szCs w:val="21"/>
                      <w:highlight w:val="none"/>
                      <w:lang w:val="en-US" w:eastAsia="zh-CN"/>
                    </w:rPr>
                    <w:t>侧</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cs="Times New Roman"/>
                      <w:color w:val="auto"/>
                      <w:sz w:val="21"/>
                      <w:szCs w:val="21"/>
                      <w:highlight w:val="none"/>
                      <w:lang w:val="en-US" w:eastAsia="zh-CN"/>
                    </w:rPr>
                    <w:t>约</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512" w:type="pct"/>
                  <w:noWrap w:val="0"/>
                  <w:vAlign w:val="center"/>
                </w:tcPr>
                <w:p w14:paraId="676B3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新建</w:t>
                  </w:r>
                </w:p>
              </w:tc>
            </w:tr>
            <w:tr w14:paraId="4D18C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3F2E58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2" w:type="pct"/>
                  <w:noWrap w:val="0"/>
                  <w:vAlign w:val="center"/>
                </w:tcPr>
                <w:p w14:paraId="5622C470">
                  <w:pPr>
                    <w:keepNext w:val="0"/>
                    <w:keepLines w:val="0"/>
                    <w:suppressLineNumbers w:val="0"/>
                    <w:spacing w:before="0" w:beforeAutospacing="0" w:after="0" w:afterAutospacing="0" w:line="320" w:lineRule="exact"/>
                    <w:ind w:left="94" w:leftChars="0" w:right="-51" w:rightChars="0" w:hanging="94" w:hangingChars="45"/>
                    <w:jc w:val="cente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试剂</w:t>
                  </w:r>
                </w:p>
                <w:p w14:paraId="0F4A65BE">
                  <w:pPr>
                    <w:keepNext w:val="0"/>
                    <w:keepLines w:val="0"/>
                    <w:suppressLineNumbers w:val="0"/>
                    <w:spacing w:before="0" w:beforeAutospacing="0" w:after="0" w:afterAutospacing="0" w:line="320" w:lineRule="exact"/>
                    <w:ind w:left="94" w:leftChars="0" w:right="-51" w:rightChars="0" w:hanging="94" w:hangingChars="4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储存区</w:t>
                  </w:r>
                </w:p>
              </w:tc>
              <w:tc>
                <w:tcPr>
                  <w:tcW w:w="3191" w:type="pct"/>
                  <w:noWrap w:val="0"/>
                  <w:vAlign w:val="center"/>
                </w:tcPr>
                <w:p w14:paraId="474A3D8B">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位于</w:t>
                  </w:r>
                  <w:r>
                    <w:rPr>
                      <w:rFonts w:hint="default" w:ascii="Times New Roman" w:hAnsi="Times New Roman" w:eastAsia="宋体" w:cs="Times New Roman"/>
                      <w:color w:val="auto"/>
                      <w:sz w:val="21"/>
                      <w:szCs w:val="21"/>
                      <w:highlight w:val="none"/>
                      <w:lang w:val="en-US" w:eastAsia="zh-CN"/>
                    </w:rPr>
                    <w:t>科研实验楼内，设置</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专用储存柜，用于储存各类化学试剂</w:t>
                  </w:r>
                </w:p>
              </w:tc>
              <w:tc>
                <w:tcPr>
                  <w:tcW w:w="512" w:type="pct"/>
                  <w:noWrap w:val="0"/>
                  <w:vAlign w:val="center"/>
                </w:tcPr>
                <w:p w14:paraId="3878AC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493A52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restart"/>
                  <w:noWrap w:val="0"/>
                  <w:vAlign w:val="center"/>
                </w:tcPr>
                <w:p w14:paraId="519908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公用工程</w:t>
                  </w:r>
                </w:p>
              </w:tc>
              <w:tc>
                <w:tcPr>
                  <w:tcW w:w="592" w:type="pct"/>
                  <w:noWrap w:val="0"/>
                  <w:vAlign w:val="center"/>
                </w:tcPr>
                <w:p w14:paraId="48AA18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供水</w:t>
                  </w:r>
                </w:p>
              </w:tc>
              <w:tc>
                <w:tcPr>
                  <w:tcW w:w="3191" w:type="pct"/>
                  <w:noWrap w:val="0"/>
                  <w:vAlign w:val="center"/>
                </w:tcPr>
                <w:p w14:paraId="249851B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由市政供水系统供给</w:t>
                  </w:r>
                </w:p>
              </w:tc>
              <w:tc>
                <w:tcPr>
                  <w:tcW w:w="512" w:type="pct"/>
                  <w:noWrap w:val="0"/>
                  <w:vAlign w:val="center"/>
                </w:tcPr>
                <w:p w14:paraId="34EF17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4A50F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549DD2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noWrap w:val="0"/>
                  <w:vAlign w:val="center"/>
                </w:tcPr>
                <w:p w14:paraId="29B2FB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排水</w:t>
                  </w:r>
                </w:p>
              </w:tc>
              <w:tc>
                <w:tcPr>
                  <w:tcW w:w="3191" w:type="pct"/>
                  <w:noWrap w:val="0"/>
                  <w:vAlign w:val="center"/>
                </w:tcPr>
                <w:p w14:paraId="6BA7B9F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生活污水及生产废水近期经厂区化粪池收集后，排入厂区的污水收集池，定期由槽车拉运至沣西新城大王污水处理厂处理；远期生活污水经化粪池收集后经市政管网排入沣西新城大王污水处理厂深度处理；设备冷却废水循环利用，定期更换的冷却废水经化粪池收集后由市政管网排入沣西新城大王污水处理厂深度处理；切割废水进入设备自带循环水箱经沉淀后再次循环利用，不外排</w:t>
                  </w:r>
                  <w:r>
                    <w:rPr>
                      <w:rFonts w:hint="default" w:ascii="Times New Roman" w:hAnsi="Times New Roman" w:cs="Times New Roman"/>
                      <w:color w:val="auto"/>
                      <w:sz w:val="21"/>
                      <w:szCs w:val="21"/>
                      <w:highlight w:val="none"/>
                      <w:lang w:val="en-US" w:eastAsia="zh-CN"/>
                    </w:rPr>
                    <w:t>。</w:t>
                  </w:r>
                </w:p>
              </w:tc>
              <w:tc>
                <w:tcPr>
                  <w:tcW w:w="512" w:type="pct"/>
                  <w:noWrap w:val="0"/>
                  <w:vAlign w:val="center"/>
                </w:tcPr>
                <w:p w14:paraId="4BE7C4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4A3F4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54651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noWrap w:val="0"/>
                  <w:vAlign w:val="center"/>
                </w:tcPr>
                <w:p w14:paraId="4F3D7D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供电</w:t>
                  </w:r>
                </w:p>
              </w:tc>
              <w:tc>
                <w:tcPr>
                  <w:tcW w:w="3191" w:type="pct"/>
                  <w:noWrap w:val="0"/>
                  <w:vAlign w:val="center"/>
                </w:tcPr>
                <w:p w14:paraId="7D07385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由市政供电系统供给</w:t>
                  </w:r>
                </w:p>
              </w:tc>
              <w:tc>
                <w:tcPr>
                  <w:tcW w:w="512" w:type="pct"/>
                  <w:noWrap w:val="0"/>
                  <w:vAlign w:val="center"/>
                </w:tcPr>
                <w:p w14:paraId="35729C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77CBE3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7E0F1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noWrap w:val="0"/>
                  <w:vAlign w:val="center"/>
                </w:tcPr>
                <w:p w14:paraId="50FE40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供暖</w:t>
                  </w:r>
                </w:p>
                <w:p w14:paraId="0FEDA3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制冷</w:t>
                  </w:r>
                </w:p>
              </w:tc>
              <w:tc>
                <w:tcPr>
                  <w:tcW w:w="3191" w:type="pct"/>
                  <w:noWrap w:val="0"/>
                  <w:vAlign w:val="center"/>
                </w:tcPr>
                <w:p w14:paraId="11873A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办公室采用分体式空调供热和制冷</w:t>
                  </w:r>
                </w:p>
              </w:tc>
              <w:tc>
                <w:tcPr>
                  <w:tcW w:w="512" w:type="pct"/>
                  <w:noWrap w:val="0"/>
                  <w:vAlign w:val="center"/>
                </w:tcPr>
                <w:p w14:paraId="0D249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74C06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687" w:hRule="atLeast"/>
                <w:jc w:val="center"/>
              </w:trPr>
              <w:tc>
                <w:tcPr>
                  <w:tcW w:w="704" w:type="pct"/>
                  <w:vMerge w:val="restart"/>
                  <w:noWrap w:val="0"/>
                  <w:vAlign w:val="center"/>
                </w:tcPr>
                <w:p w14:paraId="373400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592" w:type="pct"/>
                  <w:vMerge w:val="restart"/>
                  <w:noWrap w:val="0"/>
                  <w:vAlign w:val="center"/>
                </w:tcPr>
                <w:p w14:paraId="64D880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p w14:paraId="2B1630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w:t>
                  </w:r>
                </w:p>
              </w:tc>
              <w:tc>
                <w:tcPr>
                  <w:tcW w:w="3191" w:type="pct"/>
                  <w:noWrap w:val="0"/>
                  <w:vAlign w:val="center"/>
                </w:tcPr>
                <w:p w14:paraId="1321F5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焊接烟尘经设备自带的焊烟净化器处理后无组织排放</w:t>
                  </w:r>
                </w:p>
              </w:tc>
              <w:tc>
                <w:tcPr>
                  <w:tcW w:w="512" w:type="pct"/>
                  <w:vMerge w:val="restart"/>
                  <w:noWrap w:val="0"/>
                  <w:vAlign w:val="center"/>
                </w:tcPr>
                <w:p w14:paraId="63CF63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p w14:paraId="2E12E2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p>
              </w:tc>
            </w:tr>
            <w:tr w14:paraId="75B11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687" w:hRule="atLeast"/>
                <w:jc w:val="center"/>
              </w:trPr>
              <w:tc>
                <w:tcPr>
                  <w:tcW w:w="704" w:type="pct"/>
                  <w:vMerge w:val="continue"/>
                  <w:noWrap w:val="0"/>
                  <w:vAlign w:val="center"/>
                </w:tcPr>
                <w:p w14:paraId="00A3D2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2" w:type="pct"/>
                  <w:vMerge w:val="continue"/>
                  <w:noWrap w:val="0"/>
                  <w:vAlign w:val="center"/>
                </w:tcPr>
                <w:p w14:paraId="2377C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91" w:type="pct"/>
                  <w:noWrap w:val="0"/>
                  <w:vAlign w:val="center"/>
                </w:tcPr>
                <w:p w14:paraId="1C0DADE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color w:val="auto"/>
                      <w:kern w:val="0"/>
                      <w:sz w:val="21"/>
                      <w:szCs w:val="21"/>
                      <w:highlight w:val="none"/>
                      <w:lang w:val="en-US" w:eastAsia="zh-CN" w:bidi="ar"/>
                    </w:rPr>
                    <w:t>实验室废气（非甲烷总烃、氯化氢、</w:t>
                  </w:r>
                  <w:r>
                    <w:rPr>
                      <w:rFonts w:hint="default" w:ascii="Times New Roman" w:hAnsi="Times New Roman" w:eastAsia="宋体" w:cs="Times New Roman"/>
                      <w:color w:val="auto"/>
                      <w:sz w:val="21"/>
                      <w:szCs w:val="21"/>
                      <w:highlight w:val="none"/>
                      <w:lang w:val="en-US" w:eastAsia="zh-CN"/>
                    </w:rPr>
                    <w:t>硫酸雾、氟化物</w:t>
                  </w:r>
                  <w:r>
                    <w:rPr>
                      <w:rFonts w:hint="default" w:ascii="Times New Roman" w:hAnsi="Times New Roman" w:eastAsia="宋体" w:cs="Times New Roman"/>
                      <w:snapToGrid/>
                      <w:color w:val="auto"/>
                      <w:kern w:val="0"/>
                      <w:sz w:val="21"/>
                      <w:szCs w:val="21"/>
                      <w:highlight w:val="none"/>
                      <w:lang w:val="en-US" w:eastAsia="zh-CN" w:bidi="ar"/>
                    </w:rPr>
                    <w:t>、氮氧化物）经</w:t>
                  </w:r>
                  <w:r>
                    <w:rPr>
                      <w:rFonts w:hint="default" w:ascii="Times New Roman" w:hAnsi="Times New Roman" w:cs="Times New Roman"/>
                      <w:snapToGrid/>
                      <w:color w:val="auto"/>
                      <w:kern w:val="0"/>
                      <w:sz w:val="21"/>
                      <w:szCs w:val="21"/>
                      <w:highlight w:val="none"/>
                      <w:lang w:val="en-US" w:eastAsia="zh-CN" w:bidi="ar"/>
                    </w:rPr>
                    <w:t>通风橱+碱式喷淋塔+二级活性炭吸附装置</w:t>
                  </w:r>
                  <w:r>
                    <w:rPr>
                      <w:rFonts w:hint="default" w:ascii="Times New Roman" w:hAnsi="Times New Roman" w:eastAsia="宋体" w:cs="Times New Roman"/>
                      <w:snapToGrid/>
                      <w:color w:val="auto"/>
                      <w:kern w:val="0"/>
                      <w:sz w:val="21"/>
                      <w:szCs w:val="21"/>
                      <w:highlight w:val="none"/>
                      <w:lang w:val="en-US" w:eastAsia="zh-CN" w:bidi="ar"/>
                    </w:rPr>
                    <w:t>处理后由41米高排气筒DA001排放（风机风量为</w:t>
                  </w:r>
                  <w:r>
                    <w:rPr>
                      <w:rFonts w:hint="default" w:ascii="Times New Roman" w:hAnsi="Times New Roman" w:cs="Times New Roman"/>
                      <w:snapToGrid/>
                      <w:color w:val="auto"/>
                      <w:kern w:val="0"/>
                      <w:sz w:val="21"/>
                      <w:szCs w:val="21"/>
                      <w:highlight w:val="none"/>
                      <w:lang w:val="en-US" w:eastAsia="zh-CN" w:bidi="ar"/>
                    </w:rPr>
                    <w:t>5</w:t>
                  </w:r>
                  <w:r>
                    <w:rPr>
                      <w:rFonts w:hint="default" w:ascii="Times New Roman" w:hAnsi="Times New Roman" w:eastAsia="宋体" w:cs="Times New Roman"/>
                      <w:snapToGrid/>
                      <w:color w:val="auto"/>
                      <w:kern w:val="0"/>
                      <w:sz w:val="21"/>
                      <w:szCs w:val="21"/>
                      <w:highlight w:val="none"/>
                      <w:lang w:val="en-US" w:eastAsia="zh-CN" w:bidi="ar"/>
                    </w:rPr>
                    <w:t>000m</w:t>
                  </w:r>
                  <w:r>
                    <w:rPr>
                      <w:rFonts w:hint="default" w:ascii="Times New Roman" w:hAnsi="Times New Roman" w:eastAsia="宋体" w:cs="Times New Roman"/>
                      <w:snapToGrid/>
                      <w:color w:val="auto"/>
                      <w:kern w:val="0"/>
                      <w:sz w:val="21"/>
                      <w:szCs w:val="21"/>
                      <w:highlight w:val="none"/>
                      <w:vertAlign w:val="superscript"/>
                      <w:lang w:val="en-US" w:eastAsia="zh-CN" w:bidi="ar"/>
                    </w:rPr>
                    <w:t>3</w:t>
                  </w:r>
                  <w:r>
                    <w:rPr>
                      <w:rFonts w:hint="default" w:ascii="Times New Roman" w:hAnsi="Times New Roman" w:eastAsia="宋体" w:cs="Times New Roman"/>
                      <w:snapToGrid/>
                      <w:color w:val="auto"/>
                      <w:kern w:val="0"/>
                      <w:sz w:val="21"/>
                      <w:szCs w:val="21"/>
                      <w:highlight w:val="none"/>
                      <w:lang w:val="en-US" w:eastAsia="zh-CN" w:bidi="ar"/>
                    </w:rPr>
                    <w:t>/h）。</w:t>
                  </w:r>
                </w:p>
              </w:tc>
              <w:tc>
                <w:tcPr>
                  <w:tcW w:w="512" w:type="pct"/>
                  <w:vMerge w:val="continue"/>
                  <w:noWrap w:val="0"/>
                  <w:vAlign w:val="center"/>
                </w:tcPr>
                <w:p w14:paraId="4E5D38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15C0A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475" w:hRule="atLeast"/>
                <w:jc w:val="center"/>
              </w:trPr>
              <w:tc>
                <w:tcPr>
                  <w:tcW w:w="704" w:type="pct"/>
                  <w:vMerge w:val="continue"/>
                  <w:noWrap w:val="0"/>
                  <w:vAlign w:val="center"/>
                </w:tcPr>
                <w:p w14:paraId="50380F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vMerge w:val="restart"/>
                  <w:noWrap w:val="0"/>
                  <w:vAlign w:val="center"/>
                </w:tcPr>
                <w:p w14:paraId="2F242C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p w14:paraId="4F4F44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w:t>
                  </w:r>
                </w:p>
              </w:tc>
              <w:tc>
                <w:tcPr>
                  <w:tcW w:w="3191" w:type="pct"/>
                  <w:noWrap w:val="0"/>
                  <w:vAlign w:val="center"/>
                </w:tcPr>
                <w:p w14:paraId="72A1F9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近期：</w:t>
                  </w: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化粪池收集</w:t>
                  </w:r>
                  <w:r>
                    <w:rPr>
                      <w:rFonts w:hint="default" w:ascii="Times New Roman" w:hAnsi="Times New Roman" w:cs="Times New Roman"/>
                      <w:color w:val="auto"/>
                      <w:sz w:val="21"/>
                      <w:szCs w:val="21"/>
                      <w:highlight w:val="none"/>
                      <w:lang w:val="en-US" w:eastAsia="zh-CN"/>
                    </w:rPr>
                    <w:t>后</w:t>
                  </w:r>
                  <w:r>
                    <w:rPr>
                      <w:rFonts w:hint="default" w:ascii="Times New Roman" w:hAnsi="Times New Roman" w:cs="Times New Roman"/>
                      <w:color w:val="auto"/>
                      <w:sz w:val="21"/>
                      <w:szCs w:val="21"/>
                      <w:highlight w:val="none"/>
                    </w:rPr>
                    <w:t>排入厂区的污水收集池</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定期</w:t>
                  </w:r>
                  <w:r>
                    <w:rPr>
                      <w:rFonts w:hint="default" w:ascii="Times New Roman" w:hAnsi="Times New Roman" w:cs="Times New Roman"/>
                      <w:color w:val="auto"/>
                      <w:sz w:val="21"/>
                      <w:szCs w:val="21"/>
                      <w:highlight w:val="none"/>
                      <w:lang w:val="en-US" w:eastAsia="zh-CN"/>
                    </w:rPr>
                    <w:t>由</w:t>
                  </w:r>
                  <w:r>
                    <w:rPr>
                      <w:rFonts w:hint="default" w:ascii="Times New Roman" w:hAnsi="Times New Roman" w:cs="Times New Roman"/>
                      <w:color w:val="auto"/>
                      <w:sz w:val="21"/>
                      <w:szCs w:val="21"/>
                      <w:highlight w:val="none"/>
                    </w:rPr>
                    <w:t>槽车拉运至沣西新城大王污水处理厂处理</w:t>
                  </w:r>
                  <w:r>
                    <w:rPr>
                      <w:rFonts w:hint="default" w:ascii="Times New Roman" w:hAnsi="Times New Roman" w:cs="Times New Roman"/>
                      <w:color w:val="auto"/>
                      <w:sz w:val="21"/>
                      <w:szCs w:val="21"/>
                      <w:highlight w:val="none"/>
                      <w:lang w:eastAsia="zh-CN"/>
                    </w:rPr>
                    <w:t>。</w:t>
                  </w:r>
                </w:p>
                <w:p w14:paraId="4BE427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远期：</w:t>
                  </w: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化粪池收集</w:t>
                  </w:r>
                  <w:r>
                    <w:rPr>
                      <w:rFonts w:hint="default" w:ascii="Times New Roman" w:hAnsi="Times New Roman" w:cs="Times New Roman"/>
                      <w:color w:val="auto"/>
                      <w:sz w:val="21"/>
                      <w:szCs w:val="21"/>
                      <w:highlight w:val="none"/>
                      <w:lang w:val="en-US" w:eastAsia="zh-CN"/>
                    </w:rPr>
                    <w:t>后经市政管网排入沣西新城大王污水处理厂深度处理</w:t>
                  </w:r>
                  <w:r>
                    <w:rPr>
                      <w:rFonts w:hint="default" w:ascii="Times New Roman" w:hAnsi="Times New Roman" w:cs="Times New Roman"/>
                      <w:color w:val="auto"/>
                      <w:sz w:val="21"/>
                      <w:szCs w:val="21"/>
                      <w:highlight w:val="none"/>
                      <w:lang w:eastAsia="zh-CN"/>
                    </w:rPr>
                    <w:t>。</w:t>
                  </w:r>
                </w:p>
              </w:tc>
              <w:tc>
                <w:tcPr>
                  <w:tcW w:w="512" w:type="pct"/>
                  <w:noWrap w:val="0"/>
                  <w:vAlign w:val="center"/>
                </w:tcPr>
                <w:p w14:paraId="2A271D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1EA75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475" w:hRule="atLeast"/>
                <w:jc w:val="center"/>
              </w:trPr>
              <w:tc>
                <w:tcPr>
                  <w:tcW w:w="704" w:type="pct"/>
                  <w:vMerge w:val="continue"/>
                  <w:noWrap w:val="0"/>
                  <w:vAlign w:val="center"/>
                </w:tcPr>
                <w:p w14:paraId="751054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vMerge w:val="continue"/>
                  <w:noWrap w:val="0"/>
                  <w:vAlign w:val="center"/>
                </w:tcPr>
                <w:p w14:paraId="077767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91" w:type="pct"/>
                  <w:noWrap w:val="0"/>
                  <w:vAlign w:val="center"/>
                </w:tcPr>
                <w:p w14:paraId="16318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近期：设备冷却废水循环利用，定期更换的冷却废水经化粪池收集后</w:t>
                  </w:r>
                  <w:r>
                    <w:rPr>
                      <w:rFonts w:hint="default" w:ascii="Times New Roman" w:hAnsi="Times New Roman" w:cs="Times New Roman"/>
                      <w:color w:val="auto"/>
                      <w:sz w:val="21"/>
                      <w:szCs w:val="21"/>
                      <w:highlight w:val="none"/>
                    </w:rPr>
                    <w:t>排入厂区的污水收集池</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定期</w:t>
                  </w:r>
                  <w:r>
                    <w:rPr>
                      <w:rFonts w:hint="default" w:ascii="Times New Roman" w:hAnsi="Times New Roman" w:cs="Times New Roman"/>
                      <w:color w:val="auto"/>
                      <w:sz w:val="21"/>
                      <w:szCs w:val="21"/>
                      <w:highlight w:val="none"/>
                      <w:lang w:val="en-US" w:eastAsia="zh-CN"/>
                    </w:rPr>
                    <w:t>由</w:t>
                  </w:r>
                  <w:r>
                    <w:rPr>
                      <w:rFonts w:hint="default" w:ascii="Times New Roman" w:hAnsi="Times New Roman" w:cs="Times New Roman"/>
                      <w:color w:val="auto"/>
                      <w:sz w:val="21"/>
                      <w:szCs w:val="21"/>
                      <w:highlight w:val="none"/>
                    </w:rPr>
                    <w:t>槽车拉运至沣西新城大王污水处理厂处理</w:t>
                  </w:r>
                  <w:r>
                    <w:rPr>
                      <w:rFonts w:hint="default" w:ascii="Times New Roman" w:hAnsi="Times New Roman" w:cs="Times New Roman"/>
                      <w:color w:val="auto"/>
                      <w:sz w:val="21"/>
                      <w:szCs w:val="21"/>
                      <w:highlight w:val="none"/>
                      <w:lang w:eastAsia="zh-CN"/>
                    </w:rPr>
                    <w:t>。</w:t>
                  </w:r>
                </w:p>
                <w:p w14:paraId="3A1A19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远期：设备冷却废水循环利用，定期更换的冷却废水经化粪池收集后由市政管网排入沣西新城大王污水处理厂深度处理。</w:t>
                  </w:r>
                </w:p>
              </w:tc>
              <w:tc>
                <w:tcPr>
                  <w:tcW w:w="512" w:type="pct"/>
                  <w:noWrap w:val="0"/>
                  <w:vAlign w:val="center"/>
                </w:tcPr>
                <w:p w14:paraId="040FF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02F51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475" w:hRule="atLeast"/>
                <w:jc w:val="center"/>
              </w:trPr>
              <w:tc>
                <w:tcPr>
                  <w:tcW w:w="704" w:type="pct"/>
                  <w:vMerge w:val="continue"/>
                  <w:noWrap w:val="0"/>
                  <w:vAlign w:val="center"/>
                </w:tcPr>
                <w:p w14:paraId="1245F6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vMerge w:val="continue"/>
                  <w:noWrap w:val="0"/>
                  <w:vAlign w:val="center"/>
                </w:tcPr>
                <w:p w14:paraId="0F8B6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91" w:type="pct"/>
                  <w:noWrap w:val="0"/>
                  <w:vAlign w:val="center"/>
                </w:tcPr>
                <w:p w14:paraId="586801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切割废水进入设备自带循环水箱经沉淀后再次循环利用，不外排。</w:t>
                  </w:r>
                </w:p>
              </w:tc>
              <w:tc>
                <w:tcPr>
                  <w:tcW w:w="512" w:type="pct"/>
                  <w:noWrap w:val="0"/>
                  <w:vAlign w:val="center"/>
                </w:tcPr>
                <w:p w14:paraId="4AAAE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04B1D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6FDE51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vMerge w:val="restart"/>
                  <w:noWrap w:val="0"/>
                  <w:vAlign w:val="center"/>
                </w:tcPr>
                <w:p w14:paraId="6AFB0A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p w14:paraId="208C99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w:t>
                  </w:r>
                </w:p>
              </w:tc>
              <w:tc>
                <w:tcPr>
                  <w:tcW w:w="3191" w:type="pct"/>
                  <w:noWrap w:val="0"/>
                  <w:vAlign w:val="center"/>
                </w:tcPr>
                <w:p w14:paraId="1086B3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项目生活垃圾集中分类收集后由环卫部门定期清运</w:t>
                  </w:r>
                  <w:r>
                    <w:rPr>
                      <w:rFonts w:hint="default" w:ascii="Times New Roman" w:hAnsi="Times New Roman" w:cs="Times New Roman"/>
                      <w:color w:val="auto"/>
                      <w:sz w:val="21"/>
                      <w:szCs w:val="21"/>
                      <w:highlight w:val="none"/>
                      <w:lang w:val="en-US" w:eastAsia="zh-CN"/>
                    </w:rPr>
                    <w:t>。</w:t>
                  </w:r>
                </w:p>
              </w:tc>
              <w:tc>
                <w:tcPr>
                  <w:tcW w:w="512" w:type="pct"/>
                  <w:noWrap w:val="0"/>
                  <w:vAlign w:val="center"/>
                </w:tcPr>
                <w:p w14:paraId="0CA017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6D5CE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51A271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vMerge w:val="continue"/>
                  <w:noWrap w:val="0"/>
                  <w:vAlign w:val="center"/>
                </w:tcPr>
                <w:p w14:paraId="53ECB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91" w:type="pct"/>
                  <w:noWrap w:val="0"/>
                  <w:vAlign w:val="center"/>
                </w:tcPr>
                <w:p w14:paraId="3247FE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废原料包装桶收集后暂存于一般固废暂存区，定期由原料供应单位回收再利用；</w:t>
                  </w:r>
                  <w:r>
                    <w:rPr>
                      <w:rFonts w:hint="default" w:ascii="Times New Roman" w:hAnsi="Times New Roman" w:cs="Times New Roman"/>
                      <w:color w:val="auto"/>
                      <w:sz w:val="21"/>
                      <w:szCs w:val="21"/>
                      <w:highlight w:val="none"/>
                      <w:lang w:val="en-US" w:eastAsia="zh-CN"/>
                    </w:rPr>
                    <w:t>废边角料和废金属屑收集后暂存于一般固废暂存区，外售处置；不合格品收集后暂存于一般固废暂存区，外售处置。</w:t>
                  </w:r>
                </w:p>
              </w:tc>
              <w:tc>
                <w:tcPr>
                  <w:tcW w:w="512" w:type="pct"/>
                  <w:noWrap w:val="0"/>
                  <w:vAlign w:val="center"/>
                </w:tcPr>
                <w:p w14:paraId="7633A5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364C7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3BFA78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vMerge w:val="continue"/>
                  <w:noWrap w:val="0"/>
                  <w:vAlign w:val="center"/>
                </w:tcPr>
                <w:p w14:paraId="3EF6F8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91" w:type="pct"/>
                  <w:noWrap w:val="0"/>
                  <w:vAlign w:val="center"/>
                </w:tcPr>
                <w:p w14:paraId="114CB8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试剂瓶、废试剂、样品废液、实验器皿清洗废水、乙醚清洗废液收集在专用容器中，暂存于危险废物贮存库，定期交由有资质单位处置。喷淋塔废水、废活性炭、废真空泵油、废液压油、废润滑油、废切削液、废油桶及废含油抹布手套收集后分类暂存于危险废物贮存库，定期交由有资质单位处置。</w:t>
                  </w:r>
                </w:p>
              </w:tc>
              <w:tc>
                <w:tcPr>
                  <w:tcW w:w="512" w:type="pct"/>
                  <w:noWrap w:val="0"/>
                  <w:vAlign w:val="center"/>
                </w:tcPr>
                <w:p w14:paraId="0449DF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24B39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85" w:type="dxa"/>
                  <w:bottom w:w="85" w:type="dxa"/>
                  <w:right w:w="85" w:type="dxa"/>
                </w:tblCellMar>
              </w:tblPrEx>
              <w:trPr>
                <w:cantSplit/>
                <w:trHeight w:val="369" w:hRule="atLeast"/>
                <w:jc w:val="center"/>
              </w:trPr>
              <w:tc>
                <w:tcPr>
                  <w:tcW w:w="704" w:type="pct"/>
                  <w:vMerge w:val="continue"/>
                  <w:noWrap w:val="0"/>
                  <w:vAlign w:val="center"/>
                </w:tcPr>
                <w:p w14:paraId="0563AB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2" w:type="pct"/>
                  <w:noWrap w:val="0"/>
                  <w:vAlign w:val="center"/>
                </w:tcPr>
                <w:p w14:paraId="33FCBB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p w14:paraId="2DEB4F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w:t>
                  </w:r>
                </w:p>
              </w:tc>
              <w:tc>
                <w:tcPr>
                  <w:tcW w:w="3191" w:type="pct"/>
                  <w:noWrap w:val="0"/>
                  <w:vAlign w:val="center"/>
                </w:tcPr>
                <w:p w14:paraId="5A0A55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厂房隔声、安装基础减振基座、采用低噪声设备。</w:t>
                  </w:r>
                </w:p>
              </w:tc>
              <w:tc>
                <w:tcPr>
                  <w:tcW w:w="512" w:type="pct"/>
                  <w:noWrap w:val="0"/>
                  <w:vAlign w:val="center"/>
                </w:tcPr>
                <w:p w14:paraId="2AC1A3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bl>
          <w:p w14:paraId="1E248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5</w:t>
            </w:r>
            <w:r>
              <w:rPr>
                <w:rFonts w:hint="default" w:ascii="Times New Roman" w:hAnsi="Times New Roman" w:eastAsia="宋体" w:cs="Times New Roman"/>
                <w:b/>
                <w:bCs w:val="0"/>
                <w:color w:val="auto"/>
                <w:sz w:val="24"/>
                <w:szCs w:val="24"/>
                <w:highlight w:val="none"/>
                <w:lang w:val="en-US" w:eastAsia="zh-CN"/>
              </w:rPr>
              <w:t>、产品方案</w:t>
            </w:r>
          </w:p>
          <w:p w14:paraId="1D2FB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本项目产品方案见表</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w:t>
            </w:r>
          </w:p>
          <w:p w14:paraId="0353860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sz w:val="21"/>
                <w:szCs w:val="21"/>
                <w:highlight w:val="none"/>
              </w:rPr>
              <w:t>表2-</w:t>
            </w:r>
            <w:r>
              <w:rPr>
                <w:rFonts w:hint="default" w:ascii="Times New Roman" w:hAnsi="Times New Roman" w:eastAsia="宋体" w:cs="Times New Roman"/>
                <w:b/>
                <w:bCs w:val="0"/>
                <w:color w:val="auto"/>
                <w:sz w:val="21"/>
                <w:szCs w:val="21"/>
                <w:highlight w:val="none"/>
                <w:lang w:val="en-US" w:eastAsia="zh-CN"/>
              </w:rPr>
              <w:t>2</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val="en-US" w:eastAsia="zh-CN"/>
              </w:rPr>
              <w:t>项目产品方案</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52"/>
              <w:gridCol w:w="2010"/>
              <w:gridCol w:w="2048"/>
              <w:gridCol w:w="2048"/>
            </w:tblGrid>
            <w:tr w14:paraId="2912D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47" w:type="pct"/>
                  <w:noWrap w:val="0"/>
                  <w:vAlign w:val="center"/>
                </w:tcPr>
                <w:p w14:paraId="04158D2C">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color w:val="auto"/>
                      <w:spacing w:val="-6"/>
                      <w:sz w:val="21"/>
                      <w:szCs w:val="21"/>
                      <w:highlight w:val="none"/>
                    </w:rPr>
                  </w:pPr>
                  <w:r>
                    <w:rPr>
                      <w:rFonts w:hint="default" w:ascii="Times New Roman" w:hAnsi="Times New Roman" w:eastAsia="宋体" w:cs="Times New Roman"/>
                      <w:b/>
                      <w:color w:val="auto"/>
                      <w:spacing w:val="-6"/>
                      <w:sz w:val="21"/>
                      <w:szCs w:val="21"/>
                      <w:highlight w:val="none"/>
                    </w:rPr>
                    <w:t>名称</w:t>
                  </w:r>
                </w:p>
              </w:tc>
              <w:tc>
                <w:tcPr>
                  <w:tcW w:w="1202" w:type="pct"/>
                  <w:noWrap w:val="0"/>
                  <w:vAlign w:val="center"/>
                </w:tcPr>
                <w:p w14:paraId="695C9295">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color w:val="auto"/>
                      <w:spacing w:val="-6"/>
                      <w:sz w:val="21"/>
                      <w:szCs w:val="21"/>
                      <w:highlight w:val="none"/>
                    </w:rPr>
                  </w:pPr>
                  <w:r>
                    <w:rPr>
                      <w:rFonts w:hint="default" w:ascii="Times New Roman" w:hAnsi="Times New Roman" w:eastAsia="宋体" w:cs="Times New Roman"/>
                      <w:b/>
                      <w:color w:val="auto"/>
                      <w:spacing w:val="-6"/>
                      <w:sz w:val="21"/>
                      <w:szCs w:val="21"/>
                      <w:highlight w:val="none"/>
                    </w:rPr>
                    <w:t>产量</w:t>
                  </w:r>
                </w:p>
              </w:tc>
              <w:tc>
                <w:tcPr>
                  <w:tcW w:w="1225" w:type="pct"/>
                  <w:noWrap w:val="0"/>
                  <w:vAlign w:val="center"/>
                </w:tcPr>
                <w:p w14:paraId="4092A23F">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color w:val="auto"/>
                      <w:spacing w:val="-6"/>
                      <w:sz w:val="21"/>
                      <w:szCs w:val="21"/>
                      <w:highlight w:val="none"/>
                    </w:rPr>
                  </w:pPr>
                  <w:r>
                    <w:rPr>
                      <w:rFonts w:hint="default" w:ascii="Times New Roman" w:hAnsi="Times New Roman" w:eastAsia="宋体" w:cs="Times New Roman"/>
                      <w:b/>
                      <w:color w:val="auto"/>
                      <w:spacing w:val="-6"/>
                      <w:sz w:val="21"/>
                      <w:szCs w:val="21"/>
                      <w:highlight w:val="none"/>
                    </w:rPr>
                    <w:t>单位</w:t>
                  </w:r>
                </w:p>
              </w:tc>
              <w:tc>
                <w:tcPr>
                  <w:tcW w:w="1225" w:type="pct"/>
                  <w:noWrap w:val="0"/>
                  <w:vAlign w:val="center"/>
                </w:tcPr>
                <w:p w14:paraId="4FA0C870">
                  <w:pPr>
                    <w:keepNext w:val="0"/>
                    <w:keepLines w:val="0"/>
                    <w:suppressLineNumbers w:val="0"/>
                    <w:adjustRightInd w:val="0"/>
                    <w:snapToGrid w:val="0"/>
                    <w:spacing w:before="0" w:beforeAutospacing="0" w:after="0" w:afterAutospacing="0" w:line="300" w:lineRule="exact"/>
                    <w:ind w:left="0" w:right="0"/>
                    <w:jc w:val="center"/>
                    <w:rPr>
                      <w:rFonts w:hint="eastAsia" w:ascii="Times New Roman" w:hAnsi="Times New Roman" w:eastAsia="宋体" w:cs="Times New Roman"/>
                      <w:b/>
                      <w:color w:val="auto"/>
                      <w:spacing w:val="-6"/>
                      <w:sz w:val="21"/>
                      <w:szCs w:val="21"/>
                      <w:highlight w:val="none"/>
                      <w:lang w:val="en-US" w:eastAsia="zh-CN"/>
                    </w:rPr>
                  </w:pPr>
                  <w:r>
                    <w:rPr>
                      <w:rFonts w:hint="eastAsia" w:cs="Times New Roman"/>
                      <w:b/>
                      <w:color w:val="auto"/>
                      <w:spacing w:val="-6"/>
                      <w:sz w:val="21"/>
                      <w:szCs w:val="21"/>
                      <w:highlight w:val="none"/>
                      <w:lang w:val="en-US" w:eastAsia="zh-CN"/>
                    </w:rPr>
                    <w:t>规格</w:t>
                  </w:r>
                </w:p>
              </w:tc>
            </w:tr>
            <w:tr w14:paraId="2F992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47" w:type="pct"/>
                  <w:noWrap w:val="0"/>
                  <w:vAlign w:val="center"/>
                </w:tcPr>
                <w:p w14:paraId="0BDABF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钛锭</w:t>
                  </w:r>
                </w:p>
              </w:tc>
              <w:tc>
                <w:tcPr>
                  <w:tcW w:w="1202" w:type="pct"/>
                  <w:noWrap w:val="0"/>
                  <w:vAlign w:val="center"/>
                </w:tcPr>
                <w:p w14:paraId="5ADBD7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7700</w:t>
                  </w:r>
                </w:p>
              </w:tc>
              <w:tc>
                <w:tcPr>
                  <w:tcW w:w="1225" w:type="pct"/>
                  <w:noWrap w:val="0"/>
                  <w:vAlign w:val="center"/>
                </w:tcPr>
                <w:p w14:paraId="6CE6EB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6"/>
                      <w:sz w:val="21"/>
                      <w:szCs w:val="21"/>
                      <w:highlight w:val="none"/>
                    </w:rPr>
                  </w:pPr>
                  <w:r>
                    <w:rPr>
                      <w:rStyle w:val="96"/>
                      <w:rFonts w:hint="eastAsia" w:cs="Times New Roman"/>
                      <w:color w:val="auto"/>
                      <w:sz w:val="21"/>
                      <w:szCs w:val="21"/>
                      <w:highlight w:val="none"/>
                      <w:lang w:val="en-US" w:eastAsia="zh-CN"/>
                    </w:rPr>
                    <w:t>t</w:t>
                  </w:r>
                  <w:r>
                    <w:rPr>
                      <w:rStyle w:val="96"/>
                      <w:rFonts w:hint="default" w:ascii="Times New Roman" w:hAnsi="Times New Roman" w:eastAsia="宋体" w:cs="Times New Roman"/>
                      <w:color w:val="auto"/>
                      <w:sz w:val="21"/>
                      <w:szCs w:val="21"/>
                      <w:highlight w:val="none"/>
                    </w:rPr>
                    <w:t>/a</w:t>
                  </w:r>
                </w:p>
              </w:tc>
              <w:tc>
                <w:tcPr>
                  <w:tcW w:w="1225" w:type="pct"/>
                  <w:noWrap w:val="0"/>
                  <w:vAlign w:val="center"/>
                </w:tcPr>
                <w:p w14:paraId="27F3CD26">
                  <w:pPr>
                    <w:keepNext w:val="0"/>
                    <w:keepLines w:val="0"/>
                    <w:suppressLineNumbers w:val="0"/>
                    <w:spacing w:before="0" w:beforeAutospacing="0" w:after="0" w:afterAutospacing="0"/>
                    <w:ind w:left="0" w:right="0"/>
                    <w:jc w:val="center"/>
                    <w:rPr>
                      <w:rStyle w:val="96"/>
                      <w:rFonts w:hint="eastAsia" w:cs="Times New Roman"/>
                      <w:color w:val="auto"/>
                      <w:sz w:val="21"/>
                      <w:szCs w:val="21"/>
                      <w:highlight w:val="none"/>
                      <w:lang w:val="en-US" w:eastAsia="zh-CN"/>
                    </w:rPr>
                  </w:pPr>
                  <w:r>
                    <w:rPr>
                      <w:rFonts w:hint="default"/>
                      <w:color w:val="auto"/>
                      <w:spacing w:val="2"/>
                      <w:sz w:val="21"/>
                      <w:szCs w:val="21"/>
                      <w:highlight w:val="none"/>
                    </w:rPr>
                    <w:t>Φ</w:t>
                  </w:r>
                  <w:r>
                    <w:rPr>
                      <w:rFonts w:hint="default" w:ascii="Times New Roman" w:hAnsi="Times New Roman" w:eastAsia="Times New Roman" w:cs="Times New Roman"/>
                      <w:color w:val="auto"/>
                      <w:spacing w:val="2"/>
                      <w:sz w:val="21"/>
                      <w:szCs w:val="21"/>
                      <w:highlight w:val="none"/>
                    </w:rPr>
                    <w:t>600-</w:t>
                  </w:r>
                  <w:r>
                    <w:rPr>
                      <w:rFonts w:hint="default"/>
                      <w:color w:val="auto"/>
                      <w:spacing w:val="2"/>
                      <w:sz w:val="21"/>
                      <w:szCs w:val="21"/>
                      <w:highlight w:val="none"/>
                    </w:rPr>
                    <w:t>φ</w:t>
                  </w:r>
                  <w:r>
                    <w:rPr>
                      <w:rFonts w:hint="default" w:ascii="Times New Roman" w:hAnsi="Times New Roman" w:eastAsia="Times New Roman" w:cs="Times New Roman"/>
                      <w:color w:val="auto"/>
                      <w:spacing w:val="2"/>
                      <w:sz w:val="21"/>
                      <w:szCs w:val="21"/>
                      <w:highlight w:val="none"/>
                    </w:rPr>
                    <w:t>1040</w:t>
                  </w:r>
                </w:p>
              </w:tc>
            </w:tr>
          </w:tbl>
          <w:p w14:paraId="000F1A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auto"/>
                <w:sz w:val="24"/>
                <w:szCs w:val="24"/>
                <w:highlight w:val="none"/>
              </w:rPr>
            </w:pPr>
            <w:r>
              <w:rPr>
                <w:rFonts w:hint="eastAsia"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rPr>
              <w:t>主要设备</w:t>
            </w:r>
          </w:p>
          <w:p w14:paraId="6471242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主要生产设备情况见表</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p>
          <w:p w14:paraId="2E037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2-3</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val="en-US" w:eastAsia="zh-CN"/>
              </w:rPr>
              <w:t xml:space="preserve"> 主</w:t>
            </w:r>
            <w:r>
              <w:rPr>
                <w:rFonts w:hint="default" w:ascii="Times New Roman" w:hAnsi="Times New Roman" w:eastAsia="宋体" w:cs="Times New Roman"/>
                <w:b/>
                <w:bCs w:val="0"/>
                <w:color w:val="auto"/>
                <w:sz w:val="21"/>
                <w:szCs w:val="21"/>
                <w:highlight w:val="none"/>
              </w:rPr>
              <w:t>要设施设备表</w:t>
            </w:r>
          </w:p>
          <w:tbl>
            <w:tblPr>
              <w:tblStyle w:val="2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63"/>
              <w:gridCol w:w="567"/>
              <w:gridCol w:w="3055"/>
              <w:gridCol w:w="2035"/>
              <w:gridCol w:w="1338"/>
            </w:tblGrid>
            <w:tr w14:paraId="6D776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tcBorders>
                    <w:tl2br w:val="nil"/>
                    <w:tr2bl w:val="nil"/>
                  </w:tcBorders>
                  <w:noWrap w:val="0"/>
                  <w:vAlign w:val="center"/>
                </w:tcPr>
                <w:p w14:paraId="762F5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b/>
                      <w:bCs/>
                      <w:color w:val="auto"/>
                      <w:sz w:val="21"/>
                      <w:szCs w:val="21"/>
                      <w:highlight w:val="none"/>
                      <w:lang w:val="en-US" w:eastAsia="zh-CN"/>
                    </w:rPr>
                  </w:pPr>
                  <w:r>
                    <w:rPr>
                      <w:rStyle w:val="96"/>
                      <w:rFonts w:hint="default" w:ascii="Times New Roman" w:hAnsi="Times New Roman" w:eastAsia="宋体" w:cs="Times New Roman"/>
                      <w:b/>
                      <w:bCs/>
                      <w:color w:val="auto"/>
                      <w:sz w:val="21"/>
                      <w:szCs w:val="21"/>
                      <w:highlight w:val="none"/>
                      <w:lang w:val="en-US" w:eastAsia="zh-CN"/>
                    </w:rPr>
                    <w:t>车间</w:t>
                  </w:r>
                </w:p>
              </w:tc>
              <w:tc>
                <w:tcPr>
                  <w:tcW w:w="339" w:type="pct"/>
                  <w:tcBorders>
                    <w:tl2br w:val="nil"/>
                    <w:tr2bl w:val="nil"/>
                  </w:tcBorders>
                  <w:noWrap w:val="0"/>
                  <w:vAlign w:val="center"/>
                </w:tcPr>
                <w:p w14:paraId="6BF6C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b/>
                      <w:bCs/>
                      <w:color w:val="auto"/>
                      <w:sz w:val="21"/>
                      <w:szCs w:val="21"/>
                      <w:highlight w:val="none"/>
                    </w:rPr>
                  </w:pPr>
                  <w:r>
                    <w:rPr>
                      <w:rStyle w:val="96"/>
                      <w:rFonts w:hint="default" w:ascii="Times New Roman" w:hAnsi="Times New Roman" w:eastAsia="宋体" w:cs="Times New Roman"/>
                      <w:b/>
                      <w:bCs/>
                      <w:color w:val="auto"/>
                      <w:sz w:val="21"/>
                      <w:szCs w:val="21"/>
                      <w:highlight w:val="none"/>
                    </w:rPr>
                    <w:t>序号</w:t>
                  </w:r>
                </w:p>
              </w:tc>
              <w:tc>
                <w:tcPr>
                  <w:tcW w:w="1827" w:type="pct"/>
                  <w:tcBorders>
                    <w:tl2br w:val="nil"/>
                    <w:tr2bl w:val="nil"/>
                  </w:tcBorders>
                  <w:noWrap w:val="0"/>
                  <w:vAlign w:val="center"/>
                </w:tcPr>
                <w:p w14:paraId="4F0A6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b/>
                      <w:bCs/>
                      <w:color w:val="auto"/>
                      <w:sz w:val="21"/>
                      <w:szCs w:val="21"/>
                      <w:highlight w:val="none"/>
                    </w:rPr>
                  </w:pPr>
                  <w:r>
                    <w:rPr>
                      <w:rStyle w:val="96"/>
                      <w:rFonts w:hint="default" w:ascii="Times New Roman" w:hAnsi="Times New Roman" w:eastAsia="宋体" w:cs="Times New Roman"/>
                      <w:b/>
                      <w:bCs/>
                      <w:color w:val="auto"/>
                      <w:sz w:val="21"/>
                      <w:szCs w:val="21"/>
                      <w:highlight w:val="none"/>
                    </w:rPr>
                    <w:t>设备名称</w:t>
                  </w:r>
                </w:p>
              </w:tc>
              <w:tc>
                <w:tcPr>
                  <w:tcW w:w="1217" w:type="pct"/>
                  <w:tcBorders>
                    <w:tl2br w:val="nil"/>
                    <w:tr2bl w:val="nil"/>
                  </w:tcBorders>
                  <w:noWrap w:val="0"/>
                  <w:vAlign w:val="center"/>
                </w:tcPr>
                <w:p w14:paraId="67440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b/>
                      <w:bCs/>
                      <w:color w:val="auto"/>
                      <w:sz w:val="21"/>
                      <w:szCs w:val="21"/>
                      <w:highlight w:val="none"/>
                    </w:rPr>
                  </w:pPr>
                  <w:r>
                    <w:rPr>
                      <w:rStyle w:val="96"/>
                      <w:rFonts w:hint="default" w:ascii="Times New Roman" w:hAnsi="Times New Roman" w:eastAsia="宋体" w:cs="Times New Roman"/>
                      <w:b/>
                      <w:bCs/>
                      <w:color w:val="auto"/>
                      <w:sz w:val="21"/>
                      <w:szCs w:val="21"/>
                      <w:highlight w:val="none"/>
                    </w:rPr>
                    <w:t>型号</w:t>
                  </w:r>
                </w:p>
              </w:tc>
              <w:tc>
                <w:tcPr>
                  <w:tcW w:w="800" w:type="pct"/>
                  <w:tcBorders>
                    <w:tl2br w:val="nil"/>
                    <w:tr2bl w:val="nil"/>
                  </w:tcBorders>
                  <w:noWrap w:val="0"/>
                  <w:vAlign w:val="center"/>
                </w:tcPr>
                <w:p w14:paraId="45ABB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b/>
                      <w:bCs/>
                      <w:color w:val="auto"/>
                      <w:sz w:val="21"/>
                      <w:szCs w:val="21"/>
                      <w:highlight w:val="none"/>
                      <w:vertAlign w:val="superscript"/>
                      <w:lang w:val="en-US" w:eastAsia="zh-CN"/>
                    </w:rPr>
                  </w:pPr>
                  <w:r>
                    <w:rPr>
                      <w:rStyle w:val="96"/>
                      <w:rFonts w:hint="default" w:ascii="Times New Roman" w:hAnsi="Times New Roman" w:eastAsia="宋体" w:cs="Times New Roman"/>
                      <w:b/>
                      <w:bCs/>
                      <w:color w:val="auto"/>
                      <w:sz w:val="21"/>
                      <w:szCs w:val="21"/>
                      <w:highlight w:val="none"/>
                    </w:rPr>
                    <w:t>数量</w:t>
                  </w:r>
                  <w:r>
                    <w:rPr>
                      <w:rStyle w:val="96"/>
                      <w:rFonts w:hint="default" w:ascii="Times New Roman" w:hAnsi="Times New Roman" w:eastAsia="宋体" w:cs="Times New Roman"/>
                      <w:b/>
                      <w:bCs/>
                      <w:color w:val="auto"/>
                      <w:sz w:val="21"/>
                      <w:szCs w:val="21"/>
                      <w:highlight w:val="none"/>
                      <w:lang w:val="en-US" w:eastAsia="zh-CN"/>
                    </w:rPr>
                    <w:t>/单位</w:t>
                  </w:r>
                </w:p>
              </w:tc>
            </w:tr>
            <w:tr w14:paraId="15A54E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restart"/>
                  <w:tcBorders>
                    <w:tl2br w:val="nil"/>
                    <w:tr2bl w:val="nil"/>
                  </w:tcBorders>
                  <w:noWrap w:val="0"/>
                  <w:vAlign w:val="center"/>
                </w:tcPr>
                <w:p w14:paraId="70D9C6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Style w:val="96"/>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1号厂房</w:t>
                  </w:r>
                </w:p>
              </w:tc>
              <w:tc>
                <w:tcPr>
                  <w:tcW w:w="339" w:type="pct"/>
                  <w:tcBorders>
                    <w:tl2br w:val="nil"/>
                    <w:tr2bl w:val="nil"/>
                  </w:tcBorders>
                  <w:noWrap w:val="0"/>
                  <w:vAlign w:val="center"/>
                </w:tcPr>
                <w:p w14:paraId="12822D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827" w:type="pct"/>
                  <w:tcBorders>
                    <w:tl2br w:val="nil"/>
                    <w:tr2bl w:val="nil"/>
                  </w:tcBorders>
                  <w:noWrap w:val="0"/>
                  <w:vAlign w:val="center"/>
                </w:tcPr>
                <w:p w14:paraId="719670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海绵钛成型油压机</w:t>
                  </w:r>
                </w:p>
              </w:tc>
              <w:tc>
                <w:tcPr>
                  <w:tcW w:w="1217" w:type="pct"/>
                  <w:tcBorders>
                    <w:tl2br w:val="nil"/>
                    <w:tr2bl w:val="nil"/>
                  </w:tcBorders>
                  <w:noWrap w:val="0"/>
                  <w:vAlign w:val="center"/>
                </w:tcPr>
                <w:p w14:paraId="1C7CE6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3000T</w:t>
                  </w:r>
                </w:p>
              </w:tc>
              <w:tc>
                <w:tcPr>
                  <w:tcW w:w="800" w:type="pct"/>
                  <w:tcBorders>
                    <w:tl2br w:val="nil"/>
                    <w:tr2bl w:val="nil"/>
                  </w:tcBorders>
                  <w:noWrap w:val="0"/>
                  <w:vAlign w:val="center"/>
                </w:tcPr>
                <w:p w14:paraId="7B490D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530A4B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392A8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339" w:type="pct"/>
                  <w:tcBorders>
                    <w:tl2br w:val="nil"/>
                    <w:tr2bl w:val="nil"/>
                  </w:tcBorders>
                  <w:noWrap w:val="0"/>
                  <w:vAlign w:val="center"/>
                </w:tcPr>
                <w:p w14:paraId="735D73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827" w:type="pct"/>
                  <w:tcBorders>
                    <w:tl2br w:val="nil"/>
                    <w:tr2bl w:val="nil"/>
                  </w:tcBorders>
                  <w:noWrap w:val="0"/>
                  <w:vAlign w:val="center"/>
                </w:tcPr>
                <w:p w14:paraId="782C0B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真空等离子焊箱</w:t>
                  </w:r>
                </w:p>
              </w:tc>
              <w:tc>
                <w:tcPr>
                  <w:tcW w:w="1217" w:type="pct"/>
                  <w:tcBorders>
                    <w:tl2br w:val="nil"/>
                    <w:tr2bl w:val="nil"/>
                  </w:tcBorders>
                  <w:noWrap w:val="0"/>
                  <w:vAlign w:val="center"/>
                </w:tcPr>
                <w:p w14:paraId="1579BA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800kg</w:t>
                  </w:r>
                </w:p>
              </w:tc>
              <w:tc>
                <w:tcPr>
                  <w:tcW w:w="800" w:type="pct"/>
                  <w:tcBorders>
                    <w:tl2br w:val="nil"/>
                    <w:tr2bl w:val="nil"/>
                  </w:tcBorders>
                  <w:noWrap w:val="0"/>
                  <w:vAlign w:val="center"/>
                </w:tcPr>
                <w:p w14:paraId="000451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029D8F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47FA9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339" w:type="pct"/>
                  <w:tcBorders>
                    <w:tl2br w:val="nil"/>
                    <w:tr2bl w:val="nil"/>
                  </w:tcBorders>
                  <w:noWrap w:val="0"/>
                  <w:vAlign w:val="center"/>
                </w:tcPr>
                <w:p w14:paraId="21A042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827" w:type="pct"/>
                  <w:tcBorders>
                    <w:tl2br w:val="nil"/>
                    <w:tr2bl w:val="nil"/>
                  </w:tcBorders>
                  <w:noWrap w:val="0"/>
                  <w:vAlign w:val="center"/>
                </w:tcPr>
                <w:p w14:paraId="73B859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真空自耗电弧炉</w:t>
                  </w:r>
                </w:p>
              </w:tc>
              <w:tc>
                <w:tcPr>
                  <w:tcW w:w="1217" w:type="pct"/>
                  <w:tcBorders>
                    <w:tl2br w:val="nil"/>
                    <w:tr2bl w:val="nil"/>
                  </w:tcBorders>
                  <w:noWrap w:val="0"/>
                  <w:vAlign w:val="center"/>
                </w:tcPr>
                <w:p w14:paraId="12C7A3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1kg</w:t>
                  </w:r>
                </w:p>
              </w:tc>
              <w:tc>
                <w:tcPr>
                  <w:tcW w:w="800" w:type="pct"/>
                  <w:tcBorders>
                    <w:tl2br w:val="nil"/>
                    <w:tr2bl w:val="nil"/>
                  </w:tcBorders>
                  <w:noWrap w:val="0"/>
                  <w:vAlign w:val="center"/>
                </w:tcPr>
                <w:p w14:paraId="07630D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6EF547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6FEFD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339" w:type="pct"/>
                  <w:tcBorders>
                    <w:tl2br w:val="nil"/>
                    <w:tr2bl w:val="nil"/>
                  </w:tcBorders>
                  <w:noWrap w:val="0"/>
                  <w:vAlign w:val="center"/>
                </w:tcPr>
                <w:p w14:paraId="6205A8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827" w:type="pct"/>
                  <w:tcBorders>
                    <w:tl2br w:val="nil"/>
                    <w:tr2bl w:val="nil"/>
                  </w:tcBorders>
                  <w:noWrap w:val="0"/>
                  <w:vAlign w:val="center"/>
                </w:tcPr>
                <w:p w14:paraId="49585D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真空自耗电弧炉</w:t>
                  </w:r>
                </w:p>
              </w:tc>
              <w:tc>
                <w:tcPr>
                  <w:tcW w:w="1217" w:type="pct"/>
                  <w:tcBorders>
                    <w:tl2br w:val="nil"/>
                    <w:tr2bl w:val="nil"/>
                  </w:tcBorders>
                  <w:noWrap w:val="0"/>
                  <w:vAlign w:val="center"/>
                </w:tcPr>
                <w:p w14:paraId="6A6539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50kg</w:t>
                  </w:r>
                </w:p>
              </w:tc>
              <w:tc>
                <w:tcPr>
                  <w:tcW w:w="800" w:type="pct"/>
                  <w:tcBorders>
                    <w:tl2br w:val="nil"/>
                    <w:tr2bl w:val="nil"/>
                  </w:tcBorders>
                  <w:noWrap w:val="0"/>
                  <w:vAlign w:val="center"/>
                </w:tcPr>
                <w:p w14:paraId="438832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0C8C9F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4DC44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339" w:type="pct"/>
                  <w:tcBorders>
                    <w:tl2br w:val="nil"/>
                    <w:tr2bl w:val="nil"/>
                  </w:tcBorders>
                  <w:noWrap w:val="0"/>
                  <w:vAlign w:val="center"/>
                </w:tcPr>
                <w:p w14:paraId="312340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827" w:type="pct"/>
                  <w:tcBorders>
                    <w:tl2br w:val="nil"/>
                    <w:tr2bl w:val="nil"/>
                  </w:tcBorders>
                  <w:noWrap w:val="0"/>
                  <w:vAlign w:val="center"/>
                </w:tcPr>
                <w:p w14:paraId="170B43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真空自耗电弧炉</w:t>
                  </w:r>
                </w:p>
              </w:tc>
              <w:tc>
                <w:tcPr>
                  <w:tcW w:w="1217" w:type="pct"/>
                  <w:tcBorders>
                    <w:tl2br w:val="nil"/>
                    <w:tr2bl w:val="nil"/>
                  </w:tcBorders>
                  <w:noWrap w:val="0"/>
                  <w:vAlign w:val="center"/>
                </w:tcPr>
                <w:p w14:paraId="084716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700kg</w:t>
                  </w:r>
                </w:p>
              </w:tc>
              <w:tc>
                <w:tcPr>
                  <w:tcW w:w="800" w:type="pct"/>
                  <w:tcBorders>
                    <w:tl2br w:val="nil"/>
                    <w:tr2bl w:val="nil"/>
                  </w:tcBorders>
                  <w:noWrap w:val="0"/>
                  <w:vAlign w:val="center"/>
                </w:tcPr>
                <w:p w14:paraId="45A70D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079B73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155DFA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339" w:type="pct"/>
                  <w:tcBorders>
                    <w:tl2br w:val="nil"/>
                    <w:tr2bl w:val="nil"/>
                  </w:tcBorders>
                  <w:noWrap w:val="0"/>
                  <w:vAlign w:val="center"/>
                </w:tcPr>
                <w:p w14:paraId="5DF984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827" w:type="pct"/>
                  <w:tcBorders>
                    <w:tl2br w:val="nil"/>
                    <w:tr2bl w:val="nil"/>
                  </w:tcBorders>
                  <w:noWrap w:val="0"/>
                  <w:vAlign w:val="center"/>
                </w:tcPr>
                <w:p w14:paraId="0C9B8A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8000T海绵钛成型油压机</w:t>
                  </w:r>
                </w:p>
              </w:tc>
              <w:tc>
                <w:tcPr>
                  <w:tcW w:w="1217" w:type="pct"/>
                  <w:tcBorders>
                    <w:tl2br w:val="nil"/>
                    <w:tr2bl w:val="nil"/>
                  </w:tcBorders>
                  <w:noWrap w:val="0"/>
                  <w:vAlign w:val="center"/>
                </w:tcPr>
                <w:p w14:paraId="000D4F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ZS-YH83-8000C</w:t>
                  </w:r>
                </w:p>
              </w:tc>
              <w:tc>
                <w:tcPr>
                  <w:tcW w:w="800" w:type="pct"/>
                  <w:tcBorders>
                    <w:tl2br w:val="nil"/>
                    <w:tr2bl w:val="nil"/>
                  </w:tcBorders>
                  <w:noWrap w:val="0"/>
                  <w:vAlign w:val="center"/>
                </w:tcPr>
                <w:p w14:paraId="7F6BD6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4E89EF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6E199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339" w:type="pct"/>
                  <w:tcBorders>
                    <w:tl2br w:val="nil"/>
                    <w:tr2bl w:val="nil"/>
                  </w:tcBorders>
                  <w:noWrap w:val="0"/>
                  <w:vAlign w:val="center"/>
                </w:tcPr>
                <w:p w14:paraId="321C9C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827" w:type="pct"/>
                  <w:tcBorders>
                    <w:tl2br w:val="nil"/>
                    <w:tr2bl w:val="nil"/>
                  </w:tcBorders>
                  <w:noWrap w:val="0"/>
                  <w:vAlign w:val="center"/>
                </w:tcPr>
                <w:p w14:paraId="1FDAF0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混布料机</w:t>
                  </w:r>
                </w:p>
              </w:tc>
              <w:tc>
                <w:tcPr>
                  <w:tcW w:w="1217" w:type="pct"/>
                  <w:tcBorders>
                    <w:tl2br w:val="nil"/>
                    <w:tr2bl w:val="nil"/>
                  </w:tcBorders>
                  <w:noWrap w:val="0"/>
                  <w:vAlign w:val="center"/>
                </w:tcPr>
                <w:p w14:paraId="3CD733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非标</w:t>
                  </w:r>
                </w:p>
              </w:tc>
              <w:tc>
                <w:tcPr>
                  <w:tcW w:w="800" w:type="pct"/>
                  <w:tcBorders>
                    <w:tl2br w:val="nil"/>
                    <w:tr2bl w:val="nil"/>
                  </w:tcBorders>
                  <w:noWrap w:val="0"/>
                  <w:vAlign w:val="center"/>
                </w:tcPr>
                <w:p w14:paraId="4DD653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7D1538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715110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339" w:type="pct"/>
                  <w:tcBorders>
                    <w:tl2br w:val="nil"/>
                    <w:tr2bl w:val="nil"/>
                  </w:tcBorders>
                  <w:noWrap w:val="0"/>
                  <w:vAlign w:val="center"/>
                </w:tcPr>
                <w:p w14:paraId="128A7B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827" w:type="pct"/>
                  <w:tcBorders>
                    <w:tl2br w:val="nil"/>
                    <w:tr2bl w:val="nil"/>
                  </w:tcBorders>
                  <w:noWrap w:val="0"/>
                  <w:vAlign w:val="center"/>
                </w:tcPr>
                <w:p w14:paraId="6E8393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真空等离子焊箱</w:t>
                  </w:r>
                </w:p>
              </w:tc>
              <w:tc>
                <w:tcPr>
                  <w:tcW w:w="1217" w:type="pct"/>
                  <w:tcBorders>
                    <w:tl2br w:val="nil"/>
                    <w:tr2bl w:val="nil"/>
                  </w:tcBorders>
                  <w:noWrap w:val="0"/>
                  <w:vAlign w:val="center"/>
                </w:tcPr>
                <w:p w14:paraId="19E57B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15T</w:t>
                  </w:r>
                </w:p>
              </w:tc>
              <w:tc>
                <w:tcPr>
                  <w:tcW w:w="800" w:type="pct"/>
                  <w:tcBorders>
                    <w:tl2br w:val="nil"/>
                    <w:tr2bl w:val="nil"/>
                  </w:tcBorders>
                  <w:noWrap w:val="0"/>
                  <w:vAlign w:val="center"/>
                </w:tcPr>
                <w:p w14:paraId="6D29B0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2C6C91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67091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339" w:type="pct"/>
                  <w:tcBorders>
                    <w:tl2br w:val="nil"/>
                    <w:tr2bl w:val="nil"/>
                  </w:tcBorders>
                  <w:noWrap w:val="0"/>
                  <w:vAlign w:val="center"/>
                </w:tcPr>
                <w:p w14:paraId="6003F7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827" w:type="pct"/>
                  <w:tcBorders>
                    <w:tl2br w:val="nil"/>
                    <w:tr2bl w:val="nil"/>
                  </w:tcBorders>
                  <w:noWrap w:val="0"/>
                  <w:vAlign w:val="center"/>
                </w:tcPr>
                <w:p w14:paraId="121C4E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5T真空自耗电弧炉</w:t>
                  </w:r>
                </w:p>
              </w:tc>
              <w:tc>
                <w:tcPr>
                  <w:tcW w:w="1217" w:type="pct"/>
                  <w:tcBorders>
                    <w:tl2br w:val="nil"/>
                    <w:tr2bl w:val="nil"/>
                  </w:tcBorders>
                  <w:noWrap w:val="0"/>
                  <w:vAlign w:val="center"/>
                </w:tcPr>
                <w:p w14:paraId="770246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170-5t</w:t>
                  </w:r>
                </w:p>
              </w:tc>
              <w:tc>
                <w:tcPr>
                  <w:tcW w:w="800" w:type="pct"/>
                  <w:tcBorders>
                    <w:tl2br w:val="nil"/>
                    <w:tr2bl w:val="nil"/>
                  </w:tcBorders>
                  <w:noWrap w:val="0"/>
                  <w:vAlign w:val="center"/>
                </w:tcPr>
                <w:p w14:paraId="2851F6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2套</w:t>
                  </w:r>
                </w:p>
              </w:tc>
            </w:tr>
            <w:tr w14:paraId="0AA7B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389D7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339" w:type="pct"/>
                  <w:tcBorders>
                    <w:tl2br w:val="nil"/>
                    <w:tr2bl w:val="nil"/>
                  </w:tcBorders>
                  <w:noWrap w:val="0"/>
                  <w:vAlign w:val="center"/>
                </w:tcPr>
                <w:p w14:paraId="659BC2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827" w:type="pct"/>
                  <w:tcBorders>
                    <w:tl2br w:val="nil"/>
                    <w:tr2bl w:val="nil"/>
                  </w:tcBorders>
                  <w:noWrap w:val="0"/>
                  <w:vAlign w:val="center"/>
                </w:tcPr>
                <w:p w14:paraId="26D0B0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12T真空自耗电弧炉</w:t>
                  </w:r>
                </w:p>
              </w:tc>
              <w:tc>
                <w:tcPr>
                  <w:tcW w:w="1217" w:type="pct"/>
                  <w:tcBorders>
                    <w:tl2br w:val="nil"/>
                    <w:tr2bl w:val="nil"/>
                  </w:tcBorders>
                  <w:noWrap w:val="0"/>
                  <w:vAlign w:val="center"/>
                </w:tcPr>
                <w:p w14:paraId="76BD46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12tx I-Ti VAR</w:t>
                  </w:r>
                </w:p>
              </w:tc>
              <w:tc>
                <w:tcPr>
                  <w:tcW w:w="800" w:type="pct"/>
                  <w:tcBorders>
                    <w:tl2br w:val="nil"/>
                    <w:tr2bl w:val="nil"/>
                  </w:tcBorders>
                  <w:noWrap w:val="0"/>
                  <w:vAlign w:val="center"/>
                </w:tcPr>
                <w:p w14:paraId="3E71E1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1套</w:t>
                  </w:r>
                </w:p>
              </w:tc>
            </w:tr>
            <w:tr w14:paraId="433AE3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497D6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3C2B24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827" w:type="pct"/>
                  <w:tcBorders>
                    <w:tl2br w:val="nil"/>
                    <w:tr2bl w:val="nil"/>
                  </w:tcBorders>
                  <w:noWrap w:val="0"/>
                  <w:vAlign w:val="center"/>
                </w:tcPr>
                <w:p w14:paraId="747D83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真空自耗电弧炉</w:t>
                  </w:r>
                </w:p>
              </w:tc>
              <w:tc>
                <w:tcPr>
                  <w:tcW w:w="1217" w:type="pct"/>
                  <w:tcBorders>
                    <w:tl2br w:val="nil"/>
                    <w:tr2bl w:val="nil"/>
                  </w:tcBorders>
                  <w:noWrap w:val="0"/>
                  <w:vAlign w:val="center"/>
                </w:tcPr>
                <w:p w14:paraId="73FBC8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20T</w:t>
                  </w:r>
                </w:p>
              </w:tc>
              <w:tc>
                <w:tcPr>
                  <w:tcW w:w="800" w:type="pct"/>
                  <w:tcBorders>
                    <w:tl2br w:val="nil"/>
                    <w:tr2bl w:val="nil"/>
                  </w:tcBorders>
                  <w:noWrap w:val="0"/>
                  <w:vAlign w:val="center"/>
                </w:tcPr>
                <w:p w14:paraId="198A7D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1套</w:t>
                  </w:r>
                </w:p>
              </w:tc>
            </w:tr>
            <w:tr w14:paraId="3B1F02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5253DE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7743ED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827" w:type="pct"/>
                  <w:tcBorders>
                    <w:tl2br w:val="nil"/>
                    <w:tr2bl w:val="nil"/>
                  </w:tcBorders>
                  <w:noWrap w:val="0"/>
                  <w:vAlign w:val="center"/>
                </w:tcPr>
                <w:p w14:paraId="46AD88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铸锭清洗机</w:t>
                  </w:r>
                </w:p>
              </w:tc>
              <w:tc>
                <w:tcPr>
                  <w:tcW w:w="1217" w:type="pct"/>
                  <w:tcBorders>
                    <w:tl2br w:val="nil"/>
                    <w:tr2bl w:val="nil"/>
                  </w:tcBorders>
                  <w:noWrap w:val="0"/>
                  <w:vAlign w:val="center"/>
                </w:tcPr>
                <w:p w14:paraId="71231E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非标</w:t>
                  </w:r>
                </w:p>
              </w:tc>
              <w:tc>
                <w:tcPr>
                  <w:tcW w:w="800" w:type="pct"/>
                  <w:tcBorders>
                    <w:tl2br w:val="nil"/>
                    <w:tr2bl w:val="nil"/>
                  </w:tcBorders>
                  <w:noWrap w:val="0"/>
                  <w:vAlign w:val="center"/>
                </w:tcPr>
                <w:p w14:paraId="3329DD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51D859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674E3E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6C5245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827" w:type="pct"/>
                  <w:tcBorders>
                    <w:tl2br w:val="nil"/>
                    <w:tr2bl w:val="nil"/>
                  </w:tcBorders>
                  <w:noWrap w:val="0"/>
                  <w:vAlign w:val="center"/>
                </w:tcPr>
                <w:p w14:paraId="5A627D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坩埚清洗机</w:t>
                  </w:r>
                </w:p>
              </w:tc>
              <w:tc>
                <w:tcPr>
                  <w:tcW w:w="1217" w:type="pct"/>
                  <w:tcBorders>
                    <w:tl2br w:val="nil"/>
                    <w:tr2bl w:val="nil"/>
                  </w:tcBorders>
                  <w:noWrap w:val="0"/>
                  <w:vAlign w:val="center"/>
                </w:tcPr>
                <w:p w14:paraId="257D20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非标</w:t>
                  </w:r>
                </w:p>
              </w:tc>
              <w:tc>
                <w:tcPr>
                  <w:tcW w:w="800" w:type="pct"/>
                  <w:tcBorders>
                    <w:tl2br w:val="nil"/>
                    <w:tr2bl w:val="nil"/>
                  </w:tcBorders>
                  <w:noWrap w:val="0"/>
                  <w:vAlign w:val="center"/>
                </w:tcPr>
                <w:p w14:paraId="2D3700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1A76F9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23B15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29B7FB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827" w:type="pct"/>
                  <w:tcBorders>
                    <w:tl2br w:val="nil"/>
                    <w:tr2bl w:val="nil"/>
                  </w:tcBorders>
                  <w:noWrap w:val="0"/>
                  <w:vAlign w:val="center"/>
                </w:tcPr>
                <w:p w14:paraId="201411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电极翻转机</w:t>
                  </w:r>
                </w:p>
              </w:tc>
              <w:tc>
                <w:tcPr>
                  <w:tcW w:w="1217" w:type="pct"/>
                  <w:tcBorders>
                    <w:tl2br w:val="nil"/>
                    <w:tr2bl w:val="nil"/>
                  </w:tcBorders>
                  <w:noWrap w:val="0"/>
                  <w:vAlign w:val="center"/>
                </w:tcPr>
                <w:p w14:paraId="0C1D01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非标</w:t>
                  </w:r>
                </w:p>
              </w:tc>
              <w:tc>
                <w:tcPr>
                  <w:tcW w:w="800" w:type="pct"/>
                  <w:tcBorders>
                    <w:tl2br w:val="nil"/>
                    <w:tr2bl w:val="nil"/>
                  </w:tcBorders>
                  <w:noWrap w:val="0"/>
                  <w:vAlign w:val="center"/>
                </w:tcPr>
                <w:p w14:paraId="054C63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064D32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1D2693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502213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827" w:type="pct"/>
                  <w:tcBorders>
                    <w:tl2br w:val="nil"/>
                    <w:tr2bl w:val="nil"/>
                  </w:tcBorders>
                  <w:noWrap w:val="0"/>
                  <w:vAlign w:val="center"/>
                </w:tcPr>
                <w:p w14:paraId="49FE96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起重机</w:t>
                  </w:r>
                </w:p>
              </w:tc>
              <w:tc>
                <w:tcPr>
                  <w:tcW w:w="1217" w:type="pct"/>
                  <w:tcBorders>
                    <w:tl2br w:val="nil"/>
                    <w:tr2bl w:val="nil"/>
                  </w:tcBorders>
                  <w:noWrap w:val="0"/>
                  <w:vAlign w:val="center"/>
                </w:tcPr>
                <w:p w14:paraId="6102E5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25/10T</w:t>
                  </w:r>
                </w:p>
              </w:tc>
              <w:tc>
                <w:tcPr>
                  <w:tcW w:w="800" w:type="pct"/>
                  <w:tcBorders>
                    <w:tl2br w:val="nil"/>
                    <w:tr2bl w:val="nil"/>
                  </w:tcBorders>
                  <w:noWrap w:val="0"/>
                  <w:vAlign w:val="center"/>
                </w:tcPr>
                <w:p w14:paraId="1FD18C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5台</w:t>
                  </w:r>
                </w:p>
              </w:tc>
            </w:tr>
            <w:tr w14:paraId="58D8F7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58D5F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77DF25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1827" w:type="pct"/>
                  <w:tcBorders>
                    <w:tl2br w:val="nil"/>
                    <w:tr2bl w:val="nil"/>
                  </w:tcBorders>
                  <w:noWrap w:val="0"/>
                  <w:vAlign w:val="center"/>
                </w:tcPr>
                <w:p w14:paraId="2A5C00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卧式车床</w:t>
                  </w:r>
                </w:p>
              </w:tc>
              <w:tc>
                <w:tcPr>
                  <w:tcW w:w="1217" w:type="pct"/>
                  <w:tcBorders>
                    <w:tl2br w:val="nil"/>
                    <w:tr2bl w:val="nil"/>
                  </w:tcBorders>
                  <w:noWrap w:val="0"/>
                  <w:vAlign w:val="center"/>
                </w:tcPr>
                <w:p w14:paraId="215B7E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C61125</w:t>
                  </w:r>
                </w:p>
              </w:tc>
              <w:tc>
                <w:tcPr>
                  <w:tcW w:w="800" w:type="pct"/>
                  <w:tcBorders>
                    <w:tl2br w:val="nil"/>
                    <w:tr2bl w:val="nil"/>
                  </w:tcBorders>
                  <w:noWrap w:val="0"/>
                  <w:vAlign w:val="center"/>
                </w:tcPr>
                <w:p w14:paraId="2F1C48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p>
              </w:tc>
            </w:tr>
            <w:tr w14:paraId="4C2D96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6DA79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4EF392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1827" w:type="pct"/>
                  <w:tcBorders>
                    <w:tl2br w:val="nil"/>
                    <w:tr2bl w:val="nil"/>
                  </w:tcBorders>
                  <w:noWrap w:val="0"/>
                  <w:vAlign w:val="center"/>
                </w:tcPr>
                <w:p w14:paraId="1320B8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双立柱锯车</w:t>
                  </w:r>
                </w:p>
              </w:tc>
              <w:tc>
                <w:tcPr>
                  <w:tcW w:w="1217" w:type="pct"/>
                  <w:tcBorders>
                    <w:tl2br w:val="nil"/>
                    <w:tr2bl w:val="nil"/>
                  </w:tcBorders>
                  <w:noWrap w:val="0"/>
                  <w:vAlign w:val="center"/>
                </w:tcPr>
                <w:p w14:paraId="1414A4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GB42120</w:t>
                  </w:r>
                </w:p>
              </w:tc>
              <w:tc>
                <w:tcPr>
                  <w:tcW w:w="800" w:type="pct"/>
                  <w:tcBorders>
                    <w:tl2br w:val="nil"/>
                    <w:tr2bl w:val="nil"/>
                  </w:tcBorders>
                  <w:noWrap w:val="0"/>
                  <w:vAlign w:val="center"/>
                </w:tcPr>
                <w:p w14:paraId="49E49F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064C49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2D3133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4DE482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1827" w:type="pct"/>
                  <w:tcBorders>
                    <w:tl2br w:val="nil"/>
                    <w:tr2bl w:val="nil"/>
                  </w:tcBorders>
                  <w:noWrap w:val="0"/>
                  <w:vAlign w:val="center"/>
                </w:tcPr>
                <w:p w14:paraId="23F466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摇臂钻</w:t>
                  </w:r>
                </w:p>
              </w:tc>
              <w:tc>
                <w:tcPr>
                  <w:tcW w:w="1217" w:type="pct"/>
                  <w:tcBorders>
                    <w:tl2br w:val="nil"/>
                    <w:tr2bl w:val="nil"/>
                  </w:tcBorders>
                  <w:noWrap w:val="0"/>
                  <w:vAlign w:val="center"/>
                </w:tcPr>
                <w:p w14:paraId="6BDCFA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Z30</w:t>
                  </w:r>
                </w:p>
              </w:tc>
              <w:tc>
                <w:tcPr>
                  <w:tcW w:w="800" w:type="pct"/>
                  <w:tcBorders>
                    <w:tl2br w:val="nil"/>
                    <w:tr2bl w:val="nil"/>
                  </w:tcBorders>
                  <w:noWrap w:val="0"/>
                  <w:vAlign w:val="center"/>
                </w:tcPr>
                <w:p w14:paraId="2EC360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270C4F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5CDD7F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3B3F69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1827" w:type="pct"/>
                  <w:tcBorders>
                    <w:tl2br w:val="nil"/>
                    <w:tr2bl w:val="nil"/>
                  </w:tcBorders>
                  <w:noWrap w:val="0"/>
                  <w:vAlign w:val="center"/>
                </w:tcPr>
                <w:p w14:paraId="0433AD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叉车</w:t>
                  </w:r>
                </w:p>
              </w:tc>
              <w:tc>
                <w:tcPr>
                  <w:tcW w:w="1217" w:type="pct"/>
                  <w:tcBorders>
                    <w:tl2br w:val="nil"/>
                    <w:tr2bl w:val="nil"/>
                  </w:tcBorders>
                  <w:noWrap w:val="0"/>
                  <w:vAlign w:val="center"/>
                </w:tcPr>
                <w:p w14:paraId="5C9173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0C9EBF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11C644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restart"/>
                  <w:tcBorders>
                    <w:tl2br w:val="nil"/>
                    <w:tr2bl w:val="nil"/>
                  </w:tcBorders>
                  <w:noWrap w:val="0"/>
                  <w:vAlign w:val="center"/>
                </w:tcPr>
                <w:p w14:paraId="36D8AD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Style w:val="96"/>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2号厂房</w:t>
                  </w:r>
                </w:p>
              </w:tc>
              <w:tc>
                <w:tcPr>
                  <w:tcW w:w="339" w:type="pct"/>
                  <w:tcBorders>
                    <w:tl2br w:val="nil"/>
                    <w:tr2bl w:val="nil"/>
                  </w:tcBorders>
                  <w:noWrap w:val="0"/>
                  <w:vAlign w:val="center"/>
                </w:tcPr>
                <w:p w14:paraId="349AE5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827" w:type="pct"/>
                  <w:tcBorders>
                    <w:tl2br w:val="nil"/>
                    <w:tr2bl w:val="nil"/>
                  </w:tcBorders>
                  <w:noWrap w:val="0"/>
                  <w:vAlign w:val="center"/>
                </w:tcPr>
                <w:p w14:paraId="0312D6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车床</w:t>
                  </w:r>
                </w:p>
              </w:tc>
              <w:tc>
                <w:tcPr>
                  <w:tcW w:w="1217" w:type="pct"/>
                  <w:tcBorders>
                    <w:tl2br w:val="nil"/>
                    <w:tr2bl w:val="nil"/>
                  </w:tcBorders>
                  <w:noWrap w:val="0"/>
                  <w:vAlign w:val="center"/>
                </w:tcPr>
                <w:p w14:paraId="54802B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2AC65C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p>
              </w:tc>
            </w:tr>
            <w:tr w14:paraId="43ED7B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66689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5BE39D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827" w:type="pct"/>
                  <w:tcBorders>
                    <w:tl2br w:val="nil"/>
                    <w:tr2bl w:val="nil"/>
                  </w:tcBorders>
                  <w:noWrap w:val="0"/>
                  <w:vAlign w:val="center"/>
                </w:tcPr>
                <w:p w14:paraId="075902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样品暂存架</w:t>
                  </w:r>
                </w:p>
              </w:tc>
              <w:tc>
                <w:tcPr>
                  <w:tcW w:w="1217" w:type="pct"/>
                  <w:tcBorders>
                    <w:tl2br w:val="nil"/>
                    <w:tr2bl w:val="nil"/>
                  </w:tcBorders>
                  <w:noWrap w:val="0"/>
                  <w:vAlign w:val="center"/>
                </w:tcPr>
                <w:p w14:paraId="4C8B74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7E0926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5架</w:t>
                  </w:r>
                </w:p>
              </w:tc>
            </w:tr>
            <w:tr w14:paraId="3D6FB9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78BB6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35DFDD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827" w:type="pct"/>
                  <w:tcBorders>
                    <w:tl2br w:val="nil"/>
                    <w:tr2bl w:val="nil"/>
                  </w:tcBorders>
                  <w:noWrap w:val="0"/>
                  <w:vAlign w:val="center"/>
                </w:tcPr>
                <w:p w14:paraId="1C4A91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切割机</w:t>
                  </w:r>
                </w:p>
              </w:tc>
              <w:tc>
                <w:tcPr>
                  <w:tcW w:w="1217" w:type="pct"/>
                  <w:tcBorders>
                    <w:tl2br w:val="nil"/>
                    <w:tr2bl w:val="nil"/>
                  </w:tcBorders>
                  <w:noWrap w:val="0"/>
                  <w:vAlign w:val="center"/>
                </w:tcPr>
                <w:p w14:paraId="6123F9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6FF89A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35596C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restart"/>
                  <w:tcBorders>
                    <w:tl2br w:val="nil"/>
                    <w:tr2bl w:val="nil"/>
                  </w:tcBorders>
                  <w:noWrap w:val="0"/>
                  <w:vAlign w:val="center"/>
                </w:tcPr>
                <w:p w14:paraId="73CC2B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Style w:val="96"/>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科研实验楼</w:t>
                  </w:r>
                </w:p>
              </w:tc>
              <w:tc>
                <w:tcPr>
                  <w:tcW w:w="339" w:type="pct"/>
                  <w:tcBorders>
                    <w:tl2br w:val="nil"/>
                    <w:tr2bl w:val="nil"/>
                  </w:tcBorders>
                  <w:noWrap w:val="0"/>
                  <w:vAlign w:val="center"/>
                </w:tcPr>
                <w:p w14:paraId="004840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827" w:type="pct"/>
                  <w:tcBorders>
                    <w:tl2br w:val="nil"/>
                    <w:tr2bl w:val="nil"/>
                  </w:tcBorders>
                  <w:noWrap w:val="0"/>
                  <w:vAlign w:val="center"/>
                </w:tcPr>
                <w:p w14:paraId="1574D8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电感耦合等离子体发射光谱仪（ICP）</w:t>
                  </w:r>
                </w:p>
              </w:tc>
              <w:tc>
                <w:tcPr>
                  <w:tcW w:w="1217" w:type="pct"/>
                  <w:tcBorders>
                    <w:tl2br w:val="nil"/>
                    <w:tr2bl w:val="nil"/>
                  </w:tcBorders>
                  <w:noWrap w:val="0"/>
                  <w:vAlign w:val="center"/>
                </w:tcPr>
                <w:p w14:paraId="4064BB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50CD19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17ECB7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48CED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234BCB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827" w:type="pct"/>
                  <w:tcBorders>
                    <w:tl2br w:val="nil"/>
                    <w:tr2bl w:val="nil"/>
                  </w:tcBorders>
                  <w:noWrap w:val="0"/>
                  <w:vAlign w:val="center"/>
                </w:tcPr>
                <w:p w14:paraId="704F66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氧氮氢分析仪</w:t>
                  </w:r>
                </w:p>
              </w:tc>
              <w:tc>
                <w:tcPr>
                  <w:tcW w:w="1217" w:type="pct"/>
                  <w:tcBorders>
                    <w:tl2br w:val="nil"/>
                    <w:tr2bl w:val="nil"/>
                  </w:tcBorders>
                  <w:noWrap w:val="0"/>
                  <w:vAlign w:val="center"/>
                </w:tcPr>
                <w:p w14:paraId="67D847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694DD7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4C6D7A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6CCB2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7C0BE5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827" w:type="pct"/>
                  <w:tcBorders>
                    <w:tl2br w:val="nil"/>
                    <w:tr2bl w:val="nil"/>
                  </w:tcBorders>
                  <w:noWrap w:val="0"/>
                  <w:vAlign w:val="center"/>
                </w:tcPr>
                <w:p w14:paraId="3E0E71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碳硫分析仪</w:t>
                  </w:r>
                </w:p>
              </w:tc>
              <w:tc>
                <w:tcPr>
                  <w:tcW w:w="1217" w:type="pct"/>
                  <w:tcBorders>
                    <w:tl2br w:val="nil"/>
                    <w:tr2bl w:val="nil"/>
                  </w:tcBorders>
                  <w:noWrap w:val="0"/>
                  <w:vAlign w:val="center"/>
                </w:tcPr>
                <w:p w14:paraId="671295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55A9B2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154D8D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53E93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2DFDF4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827" w:type="pct"/>
                  <w:tcBorders>
                    <w:tl2br w:val="nil"/>
                    <w:tr2bl w:val="nil"/>
                  </w:tcBorders>
                  <w:noWrap w:val="0"/>
                  <w:vAlign w:val="center"/>
                </w:tcPr>
                <w:p w14:paraId="1B4C37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光学显微镜</w:t>
                  </w:r>
                </w:p>
              </w:tc>
              <w:tc>
                <w:tcPr>
                  <w:tcW w:w="1217" w:type="pct"/>
                  <w:tcBorders>
                    <w:tl2br w:val="nil"/>
                    <w:tr2bl w:val="nil"/>
                  </w:tcBorders>
                  <w:noWrap w:val="0"/>
                  <w:vAlign w:val="center"/>
                </w:tcPr>
                <w:p w14:paraId="3770DD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7C3443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p>
              </w:tc>
            </w:tr>
            <w:tr w14:paraId="50D8E4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122FF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2643E0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827" w:type="pct"/>
                  <w:tcBorders>
                    <w:tl2br w:val="nil"/>
                    <w:tr2bl w:val="nil"/>
                  </w:tcBorders>
                  <w:noWrap w:val="0"/>
                  <w:vAlign w:val="center"/>
                </w:tcPr>
                <w:p w14:paraId="567E5B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电子天平</w:t>
                  </w:r>
                </w:p>
              </w:tc>
              <w:tc>
                <w:tcPr>
                  <w:tcW w:w="1217" w:type="pct"/>
                  <w:tcBorders>
                    <w:tl2br w:val="nil"/>
                    <w:tr2bl w:val="nil"/>
                  </w:tcBorders>
                  <w:noWrap w:val="0"/>
                  <w:vAlign w:val="center"/>
                </w:tcPr>
                <w:p w14:paraId="6CC865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28273D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4台</w:t>
                  </w:r>
                </w:p>
              </w:tc>
            </w:tr>
            <w:tr w14:paraId="22C6C2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0E41E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4D7B00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827" w:type="pct"/>
                  <w:tcBorders>
                    <w:tl2br w:val="nil"/>
                    <w:tr2bl w:val="nil"/>
                  </w:tcBorders>
                  <w:noWrap w:val="0"/>
                  <w:vAlign w:val="center"/>
                </w:tcPr>
                <w:p w14:paraId="62EF53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置电子万能材料试验机</w:t>
                  </w:r>
                </w:p>
              </w:tc>
              <w:tc>
                <w:tcPr>
                  <w:tcW w:w="1217" w:type="pct"/>
                  <w:tcBorders>
                    <w:tl2br w:val="nil"/>
                    <w:tr2bl w:val="nil"/>
                  </w:tcBorders>
                  <w:noWrap w:val="0"/>
                  <w:vAlign w:val="center"/>
                </w:tcPr>
                <w:p w14:paraId="5A1E24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18C8B5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4台</w:t>
                  </w:r>
                </w:p>
              </w:tc>
            </w:tr>
            <w:tr w14:paraId="4934AB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05DF5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7B567D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827" w:type="pct"/>
                  <w:tcBorders>
                    <w:tl2br w:val="nil"/>
                    <w:tr2bl w:val="nil"/>
                  </w:tcBorders>
                  <w:noWrap w:val="0"/>
                  <w:vAlign w:val="center"/>
                </w:tcPr>
                <w:p w14:paraId="003ADD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疲劳试验机</w:t>
                  </w:r>
                </w:p>
              </w:tc>
              <w:tc>
                <w:tcPr>
                  <w:tcW w:w="1217" w:type="pct"/>
                  <w:tcBorders>
                    <w:tl2br w:val="nil"/>
                    <w:tr2bl w:val="nil"/>
                  </w:tcBorders>
                  <w:noWrap w:val="0"/>
                  <w:vAlign w:val="center"/>
                </w:tcPr>
                <w:p w14:paraId="672F4F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7928A1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6台</w:t>
                  </w:r>
                </w:p>
              </w:tc>
            </w:tr>
            <w:tr w14:paraId="741A4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162A8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6643D4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827" w:type="pct"/>
                  <w:tcBorders>
                    <w:tl2br w:val="nil"/>
                    <w:tr2bl w:val="nil"/>
                  </w:tcBorders>
                  <w:noWrap w:val="0"/>
                  <w:vAlign w:val="center"/>
                </w:tcPr>
                <w:p w14:paraId="5F017E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箱式电阻炉</w:t>
                  </w:r>
                </w:p>
              </w:tc>
              <w:tc>
                <w:tcPr>
                  <w:tcW w:w="1217" w:type="pct"/>
                  <w:tcBorders>
                    <w:tl2br w:val="nil"/>
                    <w:tr2bl w:val="nil"/>
                  </w:tcBorders>
                  <w:noWrap w:val="0"/>
                  <w:vAlign w:val="center"/>
                </w:tcPr>
                <w:p w14:paraId="78058C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03C56F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429C26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7615BF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3AD696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827" w:type="pct"/>
                  <w:tcBorders>
                    <w:tl2br w:val="nil"/>
                    <w:tr2bl w:val="nil"/>
                  </w:tcBorders>
                  <w:noWrap w:val="0"/>
                  <w:vAlign w:val="center"/>
                </w:tcPr>
                <w:p w14:paraId="344486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镶嵌机</w:t>
                  </w:r>
                </w:p>
              </w:tc>
              <w:tc>
                <w:tcPr>
                  <w:tcW w:w="1217" w:type="pct"/>
                  <w:tcBorders>
                    <w:tl2br w:val="nil"/>
                    <w:tr2bl w:val="nil"/>
                  </w:tcBorders>
                  <w:noWrap w:val="0"/>
                  <w:vAlign w:val="center"/>
                </w:tcPr>
                <w:p w14:paraId="119CCC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107943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7222E5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39C40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p>
              </w:tc>
              <w:tc>
                <w:tcPr>
                  <w:tcW w:w="339" w:type="pct"/>
                  <w:tcBorders>
                    <w:tl2br w:val="nil"/>
                    <w:tr2bl w:val="nil"/>
                  </w:tcBorders>
                  <w:noWrap w:val="0"/>
                  <w:vAlign w:val="center"/>
                </w:tcPr>
                <w:p w14:paraId="624E4C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827" w:type="pct"/>
                  <w:tcBorders>
                    <w:tl2br w:val="nil"/>
                    <w:tr2bl w:val="nil"/>
                  </w:tcBorders>
                  <w:noWrap w:val="0"/>
                  <w:vAlign w:val="center"/>
                </w:tcPr>
                <w:p w14:paraId="7B689D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磨抛机</w:t>
                  </w:r>
                </w:p>
              </w:tc>
              <w:tc>
                <w:tcPr>
                  <w:tcW w:w="1217" w:type="pct"/>
                  <w:tcBorders>
                    <w:tl2br w:val="nil"/>
                    <w:tr2bl w:val="nil"/>
                  </w:tcBorders>
                  <w:noWrap w:val="0"/>
                  <w:vAlign w:val="center"/>
                </w:tcPr>
                <w:p w14:paraId="536E9E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0" w:type="pct"/>
                  <w:tcBorders>
                    <w:tl2br w:val="nil"/>
                    <w:tr2bl w:val="nil"/>
                  </w:tcBorders>
                  <w:noWrap w:val="0"/>
                  <w:vAlign w:val="center"/>
                </w:tcPr>
                <w:p w14:paraId="3367CC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6DA263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restart"/>
                  <w:tcBorders>
                    <w:tl2br w:val="nil"/>
                    <w:tr2bl w:val="nil"/>
                  </w:tcBorders>
                  <w:noWrap w:val="0"/>
                  <w:vAlign w:val="center"/>
                </w:tcPr>
                <w:p w14:paraId="28D50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r>
                    <w:rPr>
                      <w:rStyle w:val="96"/>
                      <w:rFonts w:hint="eastAsia" w:cs="Times New Roman"/>
                      <w:color w:val="auto"/>
                      <w:sz w:val="21"/>
                      <w:szCs w:val="21"/>
                      <w:highlight w:val="none"/>
                      <w:lang w:val="en-US" w:eastAsia="zh-CN"/>
                    </w:rPr>
                    <w:t>环保设备</w:t>
                  </w:r>
                </w:p>
              </w:tc>
              <w:tc>
                <w:tcPr>
                  <w:tcW w:w="339" w:type="pct"/>
                  <w:tcBorders>
                    <w:tl2br w:val="nil"/>
                    <w:tr2bl w:val="nil"/>
                  </w:tcBorders>
                  <w:noWrap w:val="0"/>
                  <w:vAlign w:val="center"/>
                </w:tcPr>
                <w:p w14:paraId="12CF96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827" w:type="pct"/>
                  <w:tcBorders>
                    <w:tl2br w:val="nil"/>
                    <w:tr2bl w:val="nil"/>
                  </w:tcBorders>
                  <w:noWrap w:val="0"/>
                  <w:vAlign w:val="center"/>
                </w:tcPr>
                <w:p w14:paraId="5E50D6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焊烟净化器</w:t>
                  </w:r>
                </w:p>
              </w:tc>
              <w:tc>
                <w:tcPr>
                  <w:tcW w:w="1217" w:type="pct"/>
                  <w:tcBorders>
                    <w:tl2br w:val="nil"/>
                    <w:tr2bl w:val="nil"/>
                  </w:tcBorders>
                  <w:noWrap w:val="0"/>
                  <w:vAlign w:val="center"/>
                </w:tcPr>
                <w:p w14:paraId="1A03FA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00" w:type="pct"/>
                  <w:tcBorders>
                    <w:tl2br w:val="nil"/>
                    <w:tr2bl w:val="nil"/>
                  </w:tcBorders>
                  <w:noWrap w:val="0"/>
                  <w:vAlign w:val="center"/>
                </w:tcPr>
                <w:p w14:paraId="768999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7套</w:t>
                  </w:r>
                </w:p>
              </w:tc>
            </w:tr>
            <w:tr w14:paraId="6F3C6F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33425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cs="Times New Roman"/>
                      <w:color w:val="auto"/>
                      <w:sz w:val="21"/>
                      <w:szCs w:val="21"/>
                      <w:highlight w:val="none"/>
                      <w:lang w:val="en-US" w:eastAsia="zh-CN"/>
                    </w:rPr>
                  </w:pPr>
                </w:p>
              </w:tc>
              <w:tc>
                <w:tcPr>
                  <w:tcW w:w="339" w:type="pct"/>
                  <w:tcBorders>
                    <w:tl2br w:val="nil"/>
                    <w:tr2bl w:val="nil"/>
                  </w:tcBorders>
                  <w:noWrap w:val="0"/>
                  <w:vAlign w:val="center"/>
                </w:tcPr>
                <w:p w14:paraId="7ED6E874">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827" w:type="pct"/>
                  <w:tcBorders>
                    <w:tl2br w:val="nil"/>
                    <w:tr2bl w:val="nil"/>
                  </w:tcBorders>
                  <w:noWrap w:val="0"/>
                  <w:vAlign w:val="center"/>
                </w:tcPr>
                <w:p w14:paraId="00B8C179">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通风橱</w:t>
                  </w:r>
                </w:p>
              </w:tc>
              <w:tc>
                <w:tcPr>
                  <w:tcW w:w="1217" w:type="pct"/>
                  <w:tcBorders>
                    <w:tl2br w:val="nil"/>
                    <w:tr2bl w:val="nil"/>
                  </w:tcBorders>
                  <w:noWrap w:val="0"/>
                  <w:vAlign w:val="center"/>
                </w:tcPr>
                <w:p w14:paraId="47DD4B83">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00" w:type="pct"/>
                  <w:tcBorders>
                    <w:tl2br w:val="nil"/>
                    <w:tr2bl w:val="nil"/>
                  </w:tcBorders>
                  <w:noWrap w:val="0"/>
                  <w:vAlign w:val="center"/>
                </w:tcPr>
                <w:p w14:paraId="773514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若干套</w:t>
                  </w:r>
                </w:p>
              </w:tc>
            </w:tr>
            <w:tr w14:paraId="3B37BF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15" w:type="pct"/>
                  <w:vMerge w:val="continue"/>
                  <w:tcBorders>
                    <w:tl2br w:val="nil"/>
                    <w:tr2bl w:val="nil"/>
                  </w:tcBorders>
                  <w:noWrap w:val="0"/>
                  <w:vAlign w:val="center"/>
                </w:tcPr>
                <w:p w14:paraId="67682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cs="Times New Roman"/>
                      <w:color w:val="auto"/>
                      <w:sz w:val="21"/>
                      <w:szCs w:val="21"/>
                      <w:highlight w:val="none"/>
                      <w:lang w:val="en-US" w:eastAsia="zh-CN"/>
                    </w:rPr>
                  </w:pPr>
                </w:p>
              </w:tc>
              <w:tc>
                <w:tcPr>
                  <w:tcW w:w="339" w:type="pct"/>
                  <w:tcBorders>
                    <w:tl2br w:val="nil"/>
                    <w:tr2bl w:val="nil"/>
                  </w:tcBorders>
                  <w:noWrap w:val="0"/>
                  <w:vAlign w:val="center"/>
                </w:tcPr>
                <w:p w14:paraId="5708DD99">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827" w:type="pct"/>
                  <w:tcBorders>
                    <w:tl2br w:val="nil"/>
                    <w:tr2bl w:val="nil"/>
                  </w:tcBorders>
                  <w:noWrap w:val="0"/>
                  <w:vAlign w:val="center"/>
                </w:tcPr>
                <w:p w14:paraId="44FB0175">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二级活性炭吸附装置</w:t>
                  </w:r>
                </w:p>
              </w:tc>
              <w:tc>
                <w:tcPr>
                  <w:tcW w:w="1217" w:type="pct"/>
                  <w:tcBorders>
                    <w:tl2br w:val="nil"/>
                    <w:tr2bl w:val="nil"/>
                  </w:tcBorders>
                  <w:noWrap w:val="0"/>
                  <w:vAlign w:val="center"/>
                </w:tcPr>
                <w:p w14:paraId="0ECC7701">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00" w:type="pct"/>
                  <w:tcBorders>
                    <w:tl2br w:val="nil"/>
                    <w:tr2bl w:val="nil"/>
                  </w:tcBorders>
                  <w:noWrap w:val="0"/>
                  <w:vAlign w:val="center"/>
                </w:tcPr>
                <w:p w14:paraId="147B26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1套</w:t>
                  </w:r>
                </w:p>
              </w:tc>
            </w:tr>
          </w:tbl>
          <w:p w14:paraId="09B5171C">
            <w:pPr>
              <w:keepNext w:val="0"/>
              <w:keepLines w:val="0"/>
              <w:widowControl/>
              <w:suppressLineNumbers w:val="0"/>
              <w:tabs>
                <w:tab w:val="left" w:pos="1035"/>
                <w:tab w:val="left" w:pos="10750"/>
              </w:tabs>
              <w:spacing w:before="0" w:beforeAutospacing="0" w:after="0" w:afterAutospacing="0" w:line="360" w:lineRule="auto"/>
              <w:ind w:left="480" w:right="0"/>
              <w:rPr>
                <w:rFonts w:hint="default" w:ascii="Times New Roman" w:hAnsi="Times New Roman" w:eastAsia="宋体" w:cs="Times New Roman"/>
                <w:b/>
                <w:bCs w:val="0"/>
                <w:color w:val="auto"/>
                <w:sz w:val="24"/>
                <w:szCs w:val="24"/>
                <w:highlight w:val="none"/>
                <w:lang w:val="en-US"/>
              </w:rPr>
            </w:pPr>
            <w:r>
              <w:rPr>
                <w:rFonts w:hint="eastAsia" w:cs="Times New Roman"/>
                <w:b/>
                <w:bCs w:val="0"/>
                <w:color w:val="auto"/>
                <w:sz w:val="24"/>
                <w:szCs w:val="24"/>
                <w:highlight w:val="none"/>
                <w:lang w:val="en-US" w:eastAsia="zh-CN"/>
              </w:rPr>
              <w:t>7</w:t>
            </w:r>
            <w:r>
              <w:rPr>
                <w:rFonts w:hint="default" w:ascii="Times New Roman" w:hAnsi="Times New Roman" w:eastAsia="宋体" w:cs="Times New Roman"/>
                <w:b/>
                <w:bCs w:val="0"/>
                <w:color w:val="auto"/>
                <w:sz w:val="24"/>
                <w:szCs w:val="24"/>
                <w:highlight w:val="none"/>
                <w:lang w:val="en-US" w:eastAsia="zh-CN"/>
              </w:rPr>
              <w:t>、主要原辅料消耗</w:t>
            </w:r>
          </w:p>
          <w:p w14:paraId="23C3B077">
            <w:pPr>
              <w:pStyle w:val="79"/>
              <w:keepNext w:val="0"/>
              <w:keepLines w:val="0"/>
              <w:suppressLineNumbers w:val="0"/>
              <w:spacing w:before="0" w:beforeAutospacing="0" w:after="0" w:afterAutospacing="0"/>
              <w:ind w:left="0" w:right="0" w:firstLine="480"/>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 w:val="0"/>
                <w:bCs/>
                <w:color w:val="auto"/>
                <w:sz w:val="24"/>
                <w:highlight w:val="none"/>
              </w:rPr>
              <w:t>本项目主要原辅材料</w:t>
            </w:r>
            <w:r>
              <w:rPr>
                <w:rFonts w:hint="default" w:ascii="Times New Roman" w:hAnsi="Times New Roman" w:eastAsia="宋体" w:cs="Times New Roman"/>
                <w:b w:val="0"/>
                <w:bCs/>
                <w:color w:val="auto"/>
                <w:sz w:val="24"/>
                <w:highlight w:val="none"/>
                <w:lang w:val="en-US" w:eastAsia="zh-CN"/>
              </w:rPr>
              <w:t>见</w:t>
            </w:r>
            <w:r>
              <w:rPr>
                <w:rFonts w:hint="default" w:ascii="Times New Roman" w:hAnsi="Times New Roman" w:eastAsia="宋体" w:cs="Times New Roman"/>
                <w:b w:val="0"/>
                <w:bCs/>
                <w:color w:val="auto"/>
                <w:sz w:val="24"/>
                <w:highlight w:val="none"/>
              </w:rPr>
              <w:t>表2-</w:t>
            </w:r>
            <w:r>
              <w:rPr>
                <w:rFonts w:hint="default" w:ascii="Times New Roman" w:hAnsi="Times New Roman" w:eastAsia="宋体" w:cs="Times New Roman"/>
                <w:b w:val="0"/>
                <w:bCs/>
                <w:color w:val="auto"/>
                <w:sz w:val="24"/>
                <w:highlight w:val="none"/>
                <w:lang w:val="en-US" w:eastAsia="zh-CN"/>
              </w:rPr>
              <w:t>4</w:t>
            </w:r>
            <w:r>
              <w:rPr>
                <w:rFonts w:hint="default" w:ascii="Times New Roman" w:hAnsi="Times New Roman" w:eastAsia="宋体" w:cs="Times New Roman"/>
                <w:color w:val="auto"/>
                <w:szCs w:val="21"/>
                <w:highlight w:val="none"/>
                <w:lang w:val="en-US" w:eastAsia="zh-CN"/>
              </w:rPr>
              <w:t>。</w:t>
            </w:r>
          </w:p>
          <w:p w14:paraId="5DC9038F">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 xml:space="preserve">2-4  </w:t>
            </w:r>
            <w:r>
              <w:rPr>
                <w:rFonts w:hint="default" w:ascii="Times New Roman" w:hAnsi="Times New Roman" w:eastAsia="宋体" w:cs="Times New Roman"/>
                <w:b/>
                <w:bCs w:val="0"/>
                <w:color w:val="auto"/>
                <w:sz w:val="21"/>
                <w:szCs w:val="21"/>
                <w:highlight w:val="none"/>
              </w:rPr>
              <w:t>主要原辅材料</w:t>
            </w:r>
            <w:r>
              <w:rPr>
                <w:rFonts w:hint="default" w:ascii="Times New Roman" w:hAnsi="Times New Roman" w:eastAsia="宋体" w:cs="Times New Roman"/>
                <w:b/>
                <w:bCs w:val="0"/>
                <w:color w:val="auto"/>
                <w:sz w:val="21"/>
                <w:szCs w:val="21"/>
                <w:highlight w:val="none"/>
                <w:lang w:val="en-US" w:eastAsia="zh-CN"/>
              </w:rPr>
              <w:t>消耗</w:t>
            </w:r>
            <w:r>
              <w:rPr>
                <w:rFonts w:hint="default" w:ascii="Times New Roman" w:hAnsi="Times New Roman" w:eastAsia="宋体" w:cs="Times New Roman"/>
                <w:b/>
                <w:bCs w:val="0"/>
                <w:color w:val="auto"/>
                <w:sz w:val="21"/>
                <w:szCs w:val="21"/>
                <w:highlight w:val="none"/>
              </w:rPr>
              <w:t>一览表</w:t>
            </w:r>
          </w:p>
          <w:tbl>
            <w:tblPr>
              <w:tblStyle w:val="28"/>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93"/>
              <w:gridCol w:w="424"/>
              <w:gridCol w:w="852"/>
              <w:gridCol w:w="836"/>
              <w:gridCol w:w="742"/>
              <w:gridCol w:w="843"/>
              <w:gridCol w:w="969"/>
              <w:gridCol w:w="803"/>
              <w:gridCol w:w="803"/>
              <w:gridCol w:w="684"/>
              <w:gridCol w:w="812"/>
            </w:tblGrid>
            <w:tr w14:paraId="43750C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599" w:type="dxa"/>
                  <w:tcBorders>
                    <w:tl2br w:val="nil"/>
                    <w:tr2bl w:val="nil"/>
                  </w:tcBorders>
                  <w:shd w:val="clear" w:color="auto" w:fill="auto"/>
                  <w:noWrap/>
                  <w:vAlign w:val="center"/>
                </w:tcPr>
                <w:p w14:paraId="0FF2E0EC">
                  <w:pPr>
                    <w:pStyle w:val="108"/>
                    <w:keepNext w:val="0"/>
                    <w:keepLines w:val="0"/>
                    <w:suppressLineNumbers w:val="0"/>
                    <w:shd w:val="clear" w:color="auto" w:fill="auto"/>
                    <w:bidi w:val="0"/>
                    <w:spacing w:before="0" w:beforeAutospacing="0" w:after="0" w:afterAutospacing="0"/>
                    <w:ind w:left="0" w:right="0" w:firstLine="0" w:firstLineChars="0"/>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val="0"/>
                      <w:color w:val="auto"/>
                      <w:sz w:val="21"/>
                      <w:szCs w:val="21"/>
                      <w:highlight w:val="none"/>
                    </w:rPr>
                    <w:t>项目内容</w:t>
                  </w:r>
                </w:p>
              </w:tc>
              <w:tc>
                <w:tcPr>
                  <w:tcW w:w="423" w:type="dxa"/>
                  <w:tcBorders>
                    <w:tl2br w:val="nil"/>
                    <w:tr2bl w:val="nil"/>
                  </w:tcBorders>
                  <w:shd w:val="clear" w:color="auto" w:fill="auto"/>
                  <w:noWrap/>
                  <w:vAlign w:val="center"/>
                </w:tcPr>
                <w:p w14:paraId="50583E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863" w:type="dxa"/>
                  <w:tcBorders>
                    <w:tl2br w:val="nil"/>
                    <w:tr2bl w:val="nil"/>
                  </w:tcBorders>
                  <w:shd w:val="clear" w:color="auto" w:fill="auto"/>
                  <w:noWrap/>
                  <w:vAlign w:val="center"/>
                </w:tcPr>
                <w:p w14:paraId="46351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747" w:type="dxa"/>
                  <w:tcBorders>
                    <w:tl2br w:val="nil"/>
                    <w:tr2bl w:val="nil"/>
                  </w:tcBorders>
                  <w:shd w:val="clear" w:color="auto" w:fill="auto"/>
                  <w:noWrap/>
                  <w:vAlign w:val="center"/>
                </w:tcPr>
                <w:p w14:paraId="74679D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年用量</w:t>
                  </w:r>
                </w:p>
              </w:tc>
              <w:tc>
                <w:tcPr>
                  <w:tcW w:w="751" w:type="dxa"/>
                  <w:tcBorders>
                    <w:tl2br w:val="nil"/>
                    <w:tr2bl w:val="nil"/>
                  </w:tcBorders>
                  <w:shd w:val="clear" w:color="auto" w:fill="auto"/>
                  <w:noWrap/>
                  <w:vAlign w:val="center"/>
                </w:tcPr>
                <w:p w14:paraId="3EABE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单位</w:t>
                  </w:r>
                </w:p>
              </w:tc>
              <w:tc>
                <w:tcPr>
                  <w:tcW w:w="853" w:type="dxa"/>
                  <w:tcBorders>
                    <w:tl2br w:val="nil"/>
                    <w:tr2bl w:val="nil"/>
                  </w:tcBorders>
                  <w:shd w:val="clear" w:color="auto" w:fill="auto"/>
                  <w:noWrap/>
                  <w:vAlign w:val="center"/>
                </w:tcPr>
                <w:p w14:paraId="63EB8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存储量</w:t>
                  </w:r>
                </w:p>
              </w:tc>
              <w:tc>
                <w:tcPr>
                  <w:tcW w:w="982" w:type="dxa"/>
                  <w:tcBorders>
                    <w:tl2br w:val="nil"/>
                    <w:tr2bl w:val="nil"/>
                  </w:tcBorders>
                  <w:shd w:val="clear" w:color="auto" w:fill="auto"/>
                  <w:noWrap/>
                  <w:vAlign w:val="center"/>
                </w:tcPr>
                <w:p w14:paraId="4F1C5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储存位置</w:t>
                  </w:r>
                </w:p>
              </w:tc>
              <w:tc>
                <w:tcPr>
                  <w:tcW w:w="813" w:type="dxa"/>
                  <w:tcBorders>
                    <w:tl2br w:val="nil"/>
                    <w:tr2bl w:val="nil"/>
                  </w:tcBorders>
                  <w:shd w:val="clear" w:color="auto" w:fill="auto"/>
                  <w:noWrap/>
                  <w:vAlign w:val="center"/>
                </w:tcPr>
                <w:p w14:paraId="470016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储存方式</w:t>
                  </w:r>
                </w:p>
              </w:tc>
              <w:tc>
                <w:tcPr>
                  <w:tcW w:w="813" w:type="dxa"/>
                  <w:tcBorders>
                    <w:tl2br w:val="nil"/>
                    <w:tr2bl w:val="nil"/>
                  </w:tcBorders>
                  <w:shd w:val="clear" w:color="auto" w:fill="auto"/>
                  <w:noWrap/>
                  <w:vAlign w:val="center"/>
                </w:tcPr>
                <w:p w14:paraId="4A00E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来源</w:t>
                  </w:r>
                </w:p>
              </w:tc>
              <w:tc>
                <w:tcPr>
                  <w:tcW w:w="692" w:type="dxa"/>
                  <w:tcBorders>
                    <w:tl2br w:val="nil"/>
                    <w:tr2bl w:val="nil"/>
                  </w:tcBorders>
                  <w:shd w:val="clear" w:color="auto" w:fill="auto"/>
                  <w:noWrap/>
                  <w:vAlign w:val="center"/>
                </w:tcPr>
                <w:p w14:paraId="1A0848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性状</w:t>
                  </w:r>
                </w:p>
              </w:tc>
              <w:tc>
                <w:tcPr>
                  <w:tcW w:w="822" w:type="dxa"/>
                  <w:tcBorders>
                    <w:tl2br w:val="nil"/>
                    <w:tr2bl w:val="nil"/>
                  </w:tcBorders>
                  <w:shd w:val="clear" w:color="auto" w:fill="auto"/>
                  <w:noWrap/>
                  <w:vAlign w:val="center"/>
                </w:tcPr>
                <w:p w14:paraId="575A70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浓度</w:t>
                  </w:r>
                </w:p>
              </w:tc>
            </w:tr>
            <w:tr w14:paraId="0BB6C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restart"/>
                  <w:tcBorders>
                    <w:tl2br w:val="nil"/>
                    <w:tr2bl w:val="nil"/>
                  </w:tcBorders>
                  <w:shd w:val="clear" w:color="auto" w:fill="auto"/>
                  <w:noWrap/>
                  <w:vAlign w:val="center"/>
                </w:tcPr>
                <w:p w14:paraId="0F33381F">
                  <w:pPr>
                    <w:pStyle w:val="108"/>
                    <w:keepNext w:val="0"/>
                    <w:keepLines w:val="0"/>
                    <w:suppressLineNumbers w:val="0"/>
                    <w:shd w:val="clear" w:color="auto" w:fill="auto"/>
                    <w:bidi w:val="0"/>
                    <w:spacing w:before="0" w:beforeAutospacing="0" w:after="0" w:afterAutospacing="0"/>
                    <w:ind w:left="0" w:right="0" w:firstLine="0" w:firstLineChars="0"/>
                    <w:jc w:val="center"/>
                    <w:rPr>
                      <w:rStyle w:val="96"/>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rPr>
                    <w:t>原辅材料</w:t>
                  </w:r>
                </w:p>
              </w:tc>
              <w:tc>
                <w:tcPr>
                  <w:tcW w:w="423" w:type="dxa"/>
                  <w:tcBorders>
                    <w:tl2br w:val="nil"/>
                    <w:tr2bl w:val="nil"/>
                  </w:tcBorders>
                  <w:shd w:val="clear" w:color="auto" w:fill="auto"/>
                  <w:noWrap/>
                  <w:vAlign w:val="center"/>
                </w:tcPr>
                <w:p w14:paraId="367FA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default" w:ascii="Times New Roman" w:hAnsi="Times New Roman" w:eastAsia="宋体" w:cs="Times New Roman"/>
                      <w:color w:val="auto"/>
                      <w:sz w:val="21"/>
                      <w:szCs w:val="21"/>
                      <w:highlight w:val="none"/>
                    </w:rPr>
                    <w:t>1</w:t>
                  </w:r>
                </w:p>
              </w:tc>
              <w:tc>
                <w:tcPr>
                  <w:tcW w:w="863" w:type="dxa"/>
                  <w:tcBorders>
                    <w:tl2br w:val="nil"/>
                    <w:tr2bl w:val="nil"/>
                  </w:tcBorders>
                  <w:shd w:val="clear" w:color="auto" w:fill="auto"/>
                  <w:noWrap/>
                  <w:vAlign w:val="center"/>
                </w:tcPr>
                <w:p w14:paraId="2BE0774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海绵钛</w:t>
                  </w:r>
                </w:p>
              </w:tc>
              <w:tc>
                <w:tcPr>
                  <w:tcW w:w="747" w:type="dxa"/>
                  <w:tcBorders>
                    <w:tl2br w:val="nil"/>
                    <w:tr2bl w:val="nil"/>
                  </w:tcBorders>
                  <w:shd w:val="clear" w:color="auto" w:fill="auto"/>
                  <w:noWrap/>
                  <w:vAlign w:val="center"/>
                </w:tcPr>
                <w:p w14:paraId="01B9281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8000</w:t>
                  </w:r>
                </w:p>
              </w:tc>
              <w:tc>
                <w:tcPr>
                  <w:tcW w:w="751" w:type="dxa"/>
                  <w:tcBorders>
                    <w:tl2br w:val="nil"/>
                    <w:tr2bl w:val="nil"/>
                  </w:tcBorders>
                  <w:shd w:val="clear" w:color="auto" w:fill="auto"/>
                  <w:noWrap/>
                  <w:vAlign w:val="center"/>
                </w:tcPr>
                <w:p w14:paraId="7859252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53" w:type="dxa"/>
                  <w:tcBorders>
                    <w:tl2br w:val="nil"/>
                    <w:tr2bl w:val="nil"/>
                  </w:tcBorders>
                  <w:shd w:val="clear" w:color="auto" w:fill="auto"/>
                  <w:noWrap/>
                  <w:vAlign w:val="center"/>
                </w:tcPr>
                <w:p w14:paraId="4454032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300</w:t>
                  </w:r>
                  <w:r>
                    <w:rPr>
                      <w:rFonts w:hint="default" w:ascii="Times New Roman" w:hAnsi="Times New Roman" w:cs="Times New Roman" w:eastAsiaTheme="minorEastAsia"/>
                      <w:b w:val="0"/>
                      <w:bCs w:val="0"/>
                      <w:color w:val="auto"/>
                      <w:sz w:val="21"/>
                      <w:szCs w:val="21"/>
                      <w:highlight w:val="none"/>
                    </w:rPr>
                    <w:t>t</w:t>
                  </w:r>
                </w:p>
              </w:tc>
              <w:tc>
                <w:tcPr>
                  <w:tcW w:w="982" w:type="dxa"/>
                  <w:tcBorders>
                    <w:tl2br w:val="nil"/>
                    <w:tr2bl w:val="nil"/>
                  </w:tcBorders>
                  <w:shd w:val="clear" w:color="auto" w:fill="auto"/>
                  <w:noWrap/>
                  <w:vAlign w:val="center"/>
                </w:tcPr>
                <w:p w14:paraId="69C60C3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1号厂房</w:t>
                  </w:r>
                  <w:r>
                    <w:rPr>
                      <w:rFonts w:hint="eastAsia" w:ascii="Times New Roman" w:hAnsi="Times New Roman" w:cs="Times New Roman"/>
                      <w:b w:val="0"/>
                      <w:bCs w:val="0"/>
                      <w:color w:val="auto"/>
                      <w:sz w:val="21"/>
                      <w:szCs w:val="21"/>
                      <w:highlight w:val="none"/>
                      <w:lang w:val="en-US" w:eastAsia="zh-CN"/>
                    </w:rPr>
                    <w:t>原料库</w:t>
                  </w:r>
                </w:p>
              </w:tc>
              <w:tc>
                <w:tcPr>
                  <w:tcW w:w="813" w:type="dxa"/>
                  <w:tcBorders>
                    <w:tl2br w:val="nil"/>
                    <w:tr2bl w:val="nil"/>
                  </w:tcBorders>
                  <w:shd w:val="clear" w:color="auto" w:fill="auto"/>
                  <w:noWrap/>
                  <w:vAlign w:val="center"/>
                </w:tcPr>
                <w:p w14:paraId="21EB26E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桶装</w:t>
                  </w:r>
                </w:p>
              </w:tc>
              <w:tc>
                <w:tcPr>
                  <w:tcW w:w="813" w:type="dxa"/>
                  <w:tcBorders>
                    <w:tl2br w:val="nil"/>
                    <w:tr2bl w:val="nil"/>
                  </w:tcBorders>
                  <w:shd w:val="clear" w:color="auto" w:fill="auto"/>
                  <w:noWrap/>
                  <w:vAlign w:val="center"/>
                </w:tcPr>
                <w:p w14:paraId="2D904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tcBorders>
                    <w:tl2br w:val="nil"/>
                    <w:tr2bl w:val="nil"/>
                  </w:tcBorders>
                  <w:shd w:val="clear" w:color="auto" w:fill="auto"/>
                  <w:noWrap/>
                  <w:vAlign w:val="center"/>
                </w:tcPr>
                <w:p w14:paraId="42779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固态</w:t>
                  </w:r>
                </w:p>
              </w:tc>
              <w:tc>
                <w:tcPr>
                  <w:tcW w:w="822" w:type="dxa"/>
                  <w:tcBorders>
                    <w:tl2br w:val="nil"/>
                    <w:tr2bl w:val="nil"/>
                  </w:tcBorders>
                  <w:shd w:val="clear" w:color="auto" w:fill="auto"/>
                  <w:noWrap/>
                  <w:vAlign w:val="center"/>
                </w:tcPr>
                <w:p w14:paraId="5B49E3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7AA07E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tcBorders>
                    <w:tl2br w:val="nil"/>
                    <w:tr2bl w:val="nil"/>
                  </w:tcBorders>
                  <w:shd w:val="clear" w:color="auto" w:fill="auto"/>
                  <w:noWrap/>
                  <w:vAlign w:val="center"/>
                </w:tcPr>
                <w:p w14:paraId="4B109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423" w:type="dxa"/>
                  <w:tcBorders>
                    <w:tl2br w:val="nil"/>
                    <w:tr2bl w:val="nil"/>
                  </w:tcBorders>
                  <w:shd w:val="clear" w:color="auto" w:fill="auto"/>
                  <w:noWrap/>
                  <w:vAlign w:val="center"/>
                </w:tcPr>
                <w:p w14:paraId="0A68DD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default" w:ascii="Times New Roman" w:hAnsi="Times New Roman" w:eastAsia="宋体" w:cs="Times New Roman"/>
                      <w:color w:val="auto"/>
                      <w:sz w:val="21"/>
                      <w:szCs w:val="21"/>
                      <w:highlight w:val="none"/>
                    </w:rPr>
                    <w:t>2</w:t>
                  </w:r>
                </w:p>
              </w:tc>
              <w:tc>
                <w:tcPr>
                  <w:tcW w:w="863" w:type="dxa"/>
                  <w:tcBorders>
                    <w:tl2br w:val="nil"/>
                    <w:tr2bl w:val="nil"/>
                  </w:tcBorders>
                  <w:shd w:val="clear" w:color="auto" w:fill="auto"/>
                  <w:noWrap/>
                  <w:vAlign w:val="center"/>
                </w:tcPr>
                <w:p w14:paraId="305FC03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海绵锆</w:t>
                  </w:r>
                </w:p>
              </w:tc>
              <w:tc>
                <w:tcPr>
                  <w:tcW w:w="747" w:type="dxa"/>
                  <w:tcBorders>
                    <w:tl2br w:val="nil"/>
                    <w:tr2bl w:val="nil"/>
                  </w:tcBorders>
                  <w:shd w:val="clear" w:color="auto" w:fill="auto"/>
                  <w:noWrap/>
                  <w:vAlign w:val="center"/>
                </w:tcPr>
                <w:p w14:paraId="126FF703">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20</w:t>
                  </w:r>
                </w:p>
              </w:tc>
              <w:tc>
                <w:tcPr>
                  <w:tcW w:w="751" w:type="dxa"/>
                  <w:tcBorders>
                    <w:tl2br w:val="nil"/>
                    <w:tr2bl w:val="nil"/>
                  </w:tcBorders>
                  <w:shd w:val="clear" w:color="auto" w:fill="auto"/>
                  <w:noWrap/>
                  <w:vAlign w:val="center"/>
                </w:tcPr>
                <w:p w14:paraId="252D08D5">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53" w:type="dxa"/>
                  <w:tcBorders>
                    <w:tl2br w:val="nil"/>
                    <w:tr2bl w:val="nil"/>
                  </w:tcBorders>
                  <w:shd w:val="clear" w:color="auto" w:fill="auto"/>
                  <w:noWrap/>
                  <w:vAlign w:val="center"/>
                </w:tcPr>
                <w:p w14:paraId="4592C0E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5</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t</w:t>
                  </w:r>
                </w:p>
              </w:tc>
              <w:tc>
                <w:tcPr>
                  <w:tcW w:w="982" w:type="dxa"/>
                  <w:tcBorders>
                    <w:tl2br w:val="nil"/>
                    <w:tr2bl w:val="nil"/>
                  </w:tcBorders>
                  <w:shd w:val="clear" w:color="auto" w:fill="auto"/>
                  <w:noWrap/>
                  <w:vAlign w:val="center"/>
                </w:tcPr>
                <w:p w14:paraId="194CFAC1">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1号厂房</w:t>
                  </w:r>
                  <w:r>
                    <w:rPr>
                      <w:rFonts w:hint="eastAsia" w:ascii="Times New Roman" w:hAnsi="Times New Roman" w:cs="Times New Roman"/>
                      <w:b w:val="0"/>
                      <w:bCs w:val="0"/>
                      <w:color w:val="auto"/>
                      <w:sz w:val="21"/>
                      <w:szCs w:val="21"/>
                      <w:highlight w:val="none"/>
                      <w:lang w:val="en-US" w:eastAsia="zh-CN"/>
                    </w:rPr>
                    <w:t>原料库</w:t>
                  </w:r>
                </w:p>
              </w:tc>
              <w:tc>
                <w:tcPr>
                  <w:tcW w:w="813" w:type="dxa"/>
                  <w:tcBorders>
                    <w:tl2br w:val="nil"/>
                    <w:tr2bl w:val="nil"/>
                  </w:tcBorders>
                  <w:shd w:val="clear" w:color="auto" w:fill="auto"/>
                  <w:noWrap/>
                  <w:vAlign w:val="center"/>
                </w:tcPr>
                <w:p w14:paraId="58C05ACB">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eastAsiaTheme="minorEastAsia"/>
                      <w:b w:val="0"/>
                      <w:bCs w:val="0"/>
                      <w:color w:val="auto"/>
                      <w:sz w:val="21"/>
                      <w:szCs w:val="21"/>
                      <w:highlight w:val="none"/>
                      <w:lang w:val="en-US" w:eastAsia="zh-CN"/>
                    </w:rPr>
                  </w:pPr>
                  <w:r>
                    <w:rPr>
                      <w:rFonts w:hint="eastAsia"/>
                      <w:color w:val="auto"/>
                      <w:sz w:val="21"/>
                      <w:szCs w:val="21"/>
                      <w:highlight w:val="none"/>
                      <w:lang w:val="en-US" w:eastAsia="zh-CN"/>
                    </w:rPr>
                    <w:t>桶装</w:t>
                  </w:r>
                </w:p>
              </w:tc>
              <w:tc>
                <w:tcPr>
                  <w:tcW w:w="813" w:type="dxa"/>
                  <w:tcBorders>
                    <w:tl2br w:val="nil"/>
                    <w:tr2bl w:val="nil"/>
                  </w:tcBorders>
                  <w:shd w:val="clear" w:color="auto" w:fill="auto"/>
                  <w:noWrap/>
                  <w:vAlign w:val="center"/>
                </w:tcPr>
                <w:p w14:paraId="5AC20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tcBorders>
                    <w:tl2br w:val="nil"/>
                    <w:tr2bl w:val="nil"/>
                  </w:tcBorders>
                  <w:shd w:val="clear" w:color="auto" w:fill="auto"/>
                  <w:noWrap/>
                  <w:vAlign w:val="center"/>
                </w:tcPr>
                <w:p w14:paraId="30B88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固态</w:t>
                  </w:r>
                </w:p>
              </w:tc>
              <w:tc>
                <w:tcPr>
                  <w:tcW w:w="822" w:type="dxa"/>
                  <w:tcBorders>
                    <w:tl2br w:val="nil"/>
                    <w:tr2bl w:val="nil"/>
                  </w:tcBorders>
                  <w:shd w:val="clear" w:color="auto" w:fill="auto"/>
                  <w:noWrap/>
                  <w:vAlign w:val="center"/>
                </w:tcPr>
                <w:p w14:paraId="51601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4E6DD3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tcBorders>
                    <w:tl2br w:val="nil"/>
                    <w:tr2bl w:val="nil"/>
                  </w:tcBorders>
                  <w:shd w:val="clear" w:color="auto" w:fill="auto"/>
                  <w:noWrap/>
                  <w:vAlign w:val="center"/>
                </w:tcPr>
                <w:p w14:paraId="59216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423" w:type="dxa"/>
                  <w:tcBorders>
                    <w:tl2br w:val="nil"/>
                    <w:tr2bl w:val="nil"/>
                  </w:tcBorders>
                  <w:shd w:val="clear" w:color="auto" w:fill="auto"/>
                  <w:noWrap/>
                  <w:vAlign w:val="center"/>
                </w:tcPr>
                <w:p w14:paraId="0F106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default" w:ascii="Times New Roman" w:hAnsi="Times New Roman" w:eastAsia="宋体" w:cs="Times New Roman"/>
                      <w:color w:val="auto"/>
                      <w:sz w:val="21"/>
                      <w:szCs w:val="21"/>
                      <w:highlight w:val="none"/>
                    </w:rPr>
                    <w:t>3</w:t>
                  </w:r>
                </w:p>
              </w:tc>
              <w:tc>
                <w:tcPr>
                  <w:tcW w:w="863" w:type="dxa"/>
                  <w:tcBorders>
                    <w:tl2br w:val="nil"/>
                    <w:tr2bl w:val="nil"/>
                  </w:tcBorders>
                  <w:shd w:val="clear" w:color="auto" w:fill="auto"/>
                  <w:noWrap/>
                  <w:vAlign w:val="center"/>
                </w:tcPr>
                <w:p w14:paraId="61BCB4A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钛棒</w:t>
                  </w:r>
                </w:p>
              </w:tc>
              <w:tc>
                <w:tcPr>
                  <w:tcW w:w="747" w:type="dxa"/>
                  <w:tcBorders>
                    <w:tl2br w:val="nil"/>
                    <w:tr2bl w:val="nil"/>
                  </w:tcBorders>
                  <w:shd w:val="clear" w:color="auto" w:fill="auto"/>
                  <w:noWrap/>
                  <w:vAlign w:val="center"/>
                </w:tcPr>
                <w:p w14:paraId="645E6F9D">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10</w:t>
                  </w:r>
                </w:p>
              </w:tc>
              <w:tc>
                <w:tcPr>
                  <w:tcW w:w="751" w:type="dxa"/>
                  <w:tcBorders>
                    <w:tl2br w:val="nil"/>
                    <w:tr2bl w:val="nil"/>
                  </w:tcBorders>
                  <w:shd w:val="clear" w:color="auto" w:fill="auto"/>
                  <w:noWrap/>
                  <w:vAlign w:val="center"/>
                </w:tcPr>
                <w:p w14:paraId="09A4E8E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53" w:type="dxa"/>
                  <w:tcBorders>
                    <w:tl2br w:val="nil"/>
                    <w:tr2bl w:val="nil"/>
                  </w:tcBorders>
                  <w:shd w:val="clear" w:color="auto" w:fill="auto"/>
                  <w:noWrap/>
                  <w:vAlign w:val="center"/>
                </w:tcPr>
                <w:p w14:paraId="3B0BE32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5t</w:t>
                  </w:r>
                </w:p>
              </w:tc>
              <w:tc>
                <w:tcPr>
                  <w:tcW w:w="982" w:type="dxa"/>
                  <w:tcBorders>
                    <w:tl2br w:val="nil"/>
                    <w:tr2bl w:val="nil"/>
                  </w:tcBorders>
                  <w:shd w:val="clear" w:color="auto" w:fill="auto"/>
                  <w:noWrap/>
                  <w:vAlign w:val="center"/>
                </w:tcPr>
                <w:p w14:paraId="3160C35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1号厂房</w:t>
                  </w:r>
                  <w:r>
                    <w:rPr>
                      <w:rFonts w:hint="eastAsia" w:ascii="Times New Roman" w:hAnsi="Times New Roman" w:cs="Times New Roman"/>
                      <w:b w:val="0"/>
                      <w:bCs w:val="0"/>
                      <w:color w:val="auto"/>
                      <w:sz w:val="21"/>
                      <w:szCs w:val="21"/>
                      <w:highlight w:val="none"/>
                      <w:lang w:val="en-US" w:eastAsia="zh-CN"/>
                    </w:rPr>
                    <w:t>原料库</w:t>
                  </w:r>
                </w:p>
              </w:tc>
              <w:tc>
                <w:tcPr>
                  <w:tcW w:w="813" w:type="dxa"/>
                  <w:tcBorders>
                    <w:tl2br w:val="nil"/>
                    <w:tr2bl w:val="nil"/>
                  </w:tcBorders>
                  <w:shd w:val="clear" w:color="auto" w:fill="auto"/>
                  <w:noWrap/>
                  <w:vAlign w:val="center"/>
                </w:tcPr>
                <w:p w14:paraId="41B077A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eastAsiaTheme="minorEastAsia"/>
                      <w:b w:val="0"/>
                      <w:bCs w:val="0"/>
                      <w:color w:val="auto"/>
                      <w:sz w:val="21"/>
                      <w:szCs w:val="21"/>
                      <w:highlight w:val="none"/>
                      <w:lang w:val="en-US" w:eastAsia="zh-CN"/>
                    </w:rPr>
                  </w:pPr>
                  <w:r>
                    <w:rPr>
                      <w:rFonts w:hint="eastAsia"/>
                      <w:color w:val="auto"/>
                      <w:sz w:val="21"/>
                      <w:szCs w:val="21"/>
                      <w:highlight w:val="none"/>
                      <w:lang w:val="en-US" w:eastAsia="zh-CN"/>
                    </w:rPr>
                    <w:t>桶装</w:t>
                  </w:r>
                </w:p>
              </w:tc>
              <w:tc>
                <w:tcPr>
                  <w:tcW w:w="813" w:type="dxa"/>
                  <w:tcBorders>
                    <w:tl2br w:val="nil"/>
                    <w:tr2bl w:val="nil"/>
                  </w:tcBorders>
                  <w:shd w:val="clear" w:color="auto" w:fill="auto"/>
                  <w:noWrap/>
                  <w:vAlign w:val="center"/>
                </w:tcPr>
                <w:p w14:paraId="00866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tcBorders>
                    <w:tl2br w:val="nil"/>
                    <w:tr2bl w:val="nil"/>
                  </w:tcBorders>
                  <w:shd w:val="clear" w:color="auto" w:fill="auto"/>
                  <w:noWrap/>
                  <w:vAlign w:val="center"/>
                </w:tcPr>
                <w:p w14:paraId="44177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固态</w:t>
                  </w:r>
                </w:p>
              </w:tc>
              <w:tc>
                <w:tcPr>
                  <w:tcW w:w="822" w:type="dxa"/>
                  <w:tcBorders>
                    <w:tl2br w:val="nil"/>
                    <w:tr2bl w:val="nil"/>
                  </w:tcBorders>
                  <w:shd w:val="clear" w:color="auto" w:fill="auto"/>
                  <w:noWrap/>
                  <w:vAlign w:val="center"/>
                </w:tcPr>
                <w:p w14:paraId="1FAAA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43872E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tcBorders>
                    <w:tl2br w:val="nil"/>
                    <w:tr2bl w:val="nil"/>
                  </w:tcBorders>
                  <w:shd w:val="clear" w:color="auto" w:fill="auto"/>
                  <w:noWrap/>
                  <w:vAlign w:val="center"/>
                </w:tcPr>
                <w:p w14:paraId="43B55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423" w:type="dxa"/>
                  <w:tcBorders>
                    <w:tl2br w:val="nil"/>
                    <w:tr2bl w:val="nil"/>
                  </w:tcBorders>
                  <w:shd w:val="clear" w:color="auto" w:fill="auto"/>
                  <w:noWrap/>
                  <w:vAlign w:val="center"/>
                </w:tcPr>
                <w:p w14:paraId="0386A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default" w:ascii="Times New Roman" w:hAnsi="Times New Roman" w:eastAsia="宋体" w:cs="Times New Roman"/>
                      <w:color w:val="auto"/>
                      <w:sz w:val="21"/>
                      <w:szCs w:val="21"/>
                      <w:highlight w:val="none"/>
                    </w:rPr>
                    <w:t>4</w:t>
                  </w:r>
                </w:p>
              </w:tc>
              <w:tc>
                <w:tcPr>
                  <w:tcW w:w="863" w:type="dxa"/>
                  <w:tcBorders>
                    <w:tl2br w:val="nil"/>
                    <w:tr2bl w:val="nil"/>
                  </w:tcBorders>
                  <w:shd w:val="clear" w:color="auto" w:fill="auto"/>
                  <w:noWrap/>
                  <w:vAlign w:val="center"/>
                </w:tcPr>
                <w:p w14:paraId="692D504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color w:val="auto"/>
                      <w:spacing w:val="5"/>
                      <w:sz w:val="21"/>
                      <w:szCs w:val="21"/>
                      <w:highlight w:val="none"/>
                    </w:rPr>
                    <w:t>钨针</w:t>
                  </w:r>
                </w:p>
              </w:tc>
              <w:tc>
                <w:tcPr>
                  <w:tcW w:w="747" w:type="dxa"/>
                  <w:tcBorders>
                    <w:tl2br w:val="nil"/>
                    <w:tr2bl w:val="nil"/>
                  </w:tcBorders>
                  <w:shd w:val="clear" w:color="auto" w:fill="auto"/>
                  <w:noWrap/>
                  <w:vAlign w:val="center"/>
                </w:tcPr>
                <w:p w14:paraId="25F053E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751" w:type="dxa"/>
                  <w:tcBorders>
                    <w:tl2br w:val="nil"/>
                    <w:tr2bl w:val="nil"/>
                  </w:tcBorders>
                  <w:shd w:val="clear" w:color="auto" w:fill="auto"/>
                  <w:noWrap/>
                  <w:vAlign w:val="center"/>
                </w:tcPr>
                <w:p w14:paraId="5A4C1055">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53" w:type="dxa"/>
                  <w:tcBorders>
                    <w:tl2br w:val="nil"/>
                    <w:tr2bl w:val="nil"/>
                  </w:tcBorders>
                  <w:shd w:val="clear" w:color="auto" w:fill="auto"/>
                  <w:noWrap/>
                  <w:vAlign w:val="center"/>
                </w:tcPr>
                <w:p w14:paraId="020515FF">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0.01t</w:t>
                  </w:r>
                </w:p>
              </w:tc>
              <w:tc>
                <w:tcPr>
                  <w:tcW w:w="982" w:type="dxa"/>
                  <w:tcBorders>
                    <w:tl2br w:val="nil"/>
                    <w:tr2bl w:val="nil"/>
                  </w:tcBorders>
                  <w:shd w:val="clear" w:color="auto" w:fill="auto"/>
                  <w:noWrap/>
                  <w:vAlign w:val="center"/>
                </w:tcPr>
                <w:p w14:paraId="1E6256DB">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1号厂房</w:t>
                  </w:r>
                  <w:r>
                    <w:rPr>
                      <w:rFonts w:hint="eastAsia" w:ascii="Times New Roman" w:hAnsi="Times New Roman" w:cs="Times New Roman"/>
                      <w:b w:val="0"/>
                      <w:bCs w:val="0"/>
                      <w:color w:val="auto"/>
                      <w:sz w:val="21"/>
                      <w:szCs w:val="21"/>
                      <w:highlight w:val="none"/>
                      <w:lang w:val="en-US" w:eastAsia="zh-CN"/>
                    </w:rPr>
                    <w:t>原料库</w:t>
                  </w:r>
                </w:p>
              </w:tc>
              <w:tc>
                <w:tcPr>
                  <w:tcW w:w="813" w:type="dxa"/>
                  <w:tcBorders>
                    <w:tl2br w:val="nil"/>
                    <w:tr2bl w:val="nil"/>
                  </w:tcBorders>
                  <w:shd w:val="clear" w:color="auto" w:fill="auto"/>
                  <w:noWrap/>
                  <w:vAlign w:val="center"/>
                </w:tcPr>
                <w:p w14:paraId="1C4A15BF">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eastAsiaTheme="minorEastAsia"/>
                      <w:b w:val="0"/>
                      <w:bCs w:val="0"/>
                      <w:color w:val="auto"/>
                      <w:sz w:val="21"/>
                      <w:szCs w:val="21"/>
                      <w:highlight w:val="none"/>
                      <w:lang w:val="en-US" w:eastAsia="zh-CN"/>
                    </w:rPr>
                  </w:pPr>
                  <w:r>
                    <w:rPr>
                      <w:rFonts w:hint="eastAsia"/>
                      <w:color w:val="auto"/>
                      <w:sz w:val="21"/>
                      <w:szCs w:val="21"/>
                      <w:highlight w:val="none"/>
                      <w:lang w:val="en-US" w:eastAsia="zh-CN"/>
                    </w:rPr>
                    <w:t>桶装</w:t>
                  </w:r>
                </w:p>
              </w:tc>
              <w:tc>
                <w:tcPr>
                  <w:tcW w:w="813" w:type="dxa"/>
                  <w:tcBorders>
                    <w:tl2br w:val="nil"/>
                    <w:tr2bl w:val="nil"/>
                  </w:tcBorders>
                  <w:shd w:val="clear" w:color="auto" w:fill="auto"/>
                  <w:noWrap/>
                  <w:vAlign w:val="center"/>
                </w:tcPr>
                <w:p w14:paraId="1F0C4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tcBorders>
                    <w:tl2br w:val="nil"/>
                    <w:tr2bl w:val="nil"/>
                  </w:tcBorders>
                  <w:shd w:val="clear" w:color="auto" w:fill="auto"/>
                  <w:noWrap/>
                  <w:vAlign w:val="center"/>
                </w:tcPr>
                <w:p w14:paraId="262C4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固态</w:t>
                  </w:r>
                </w:p>
              </w:tc>
              <w:tc>
                <w:tcPr>
                  <w:tcW w:w="822" w:type="dxa"/>
                  <w:tcBorders>
                    <w:tl2br w:val="nil"/>
                    <w:tr2bl w:val="nil"/>
                  </w:tcBorders>
                  <w:shd w:val="clear" w:color="auto" w:fill="auto"/>
                  <w:noWrap/>
                  <w:vAlign w:val="center"/>
                </w:tcPr>
                <w:p w14:paraId="754453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4A297E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tcBorders>
                    <w:tl2br w:val="nil"/>
                    <w:tr2bl w:val="nil"/>
                  </w:tcBorders>
                  <w:shd w:val="clear" w:color="auto" w:fill="auto"/>
                  <w:vAlign w:val="center"/>
                </w:tcPr>
                <w:p w14:paraId="08879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423" w:type="dxa"/>
                  <w:tcBorders>
                    <w:tl2br w:val="nil"/>
                    <w:tr2bl w:val="nil"/>
                  </w:tcBorders>
                  <w:shd w:val="clear" w:color="auto" w:fill="auto"/>
                  <w:vAlign w:val="center"/>
                </w:tcPr>
                <w:p w14:paraId="344B5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default" w:ascii="Times New Roman" w:hAnsi="Times New Roman" w:eastAsia="宋体" w:cs="Times New Roman"/>
                      <w:color w:val="auto"/>
                      <w:sz w:val="21"/>
                      <w:szCs w:val="21"/>
                      <w:highlight w:val="none"/>
                    </w:rPr>
                    <w:t>5</w:t>
                  </w:r>
                </w:p>
              </w:tc>
              <w:tc>
                <w:tcPr>
                  <w:tcW w:w="863" w:type="dxa"/>
                  <w:tcBorders>
                    <w:tl2br w:val="nil"/>
                    <w:tr2bl w:val="nil"/>
                  </w:tcBorders>
                  <w:shd w:val="clear" w:color="auto" w:fill="auto"/>
                  <w:vAlign w:val="center"/>
                </w:tcPr>
                <w:p w14:paraId="6BB5DD5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氩气</w:t>
                  </w:r>
                </w:p>
              </w:tc>
              <w:tc>
                <w:tcPr>
                  <w:tcW w:w="747" w:type="dxa"/>
                  <w:tcBorders>
                    <w:tl2br w:val="nil"/>
                    <w:tr2bl w:val="nil"/>
                  </w:tcBorders>
                  <w:shd w:val="clear" w:color="auto" w:fill="auto"/>
                  <w:noWrap/>
                  <w:vAlign w:val="center"/>
                </w:tcPr>
                <w:p w14:paraId="7A244B81">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12000</w:t>
                  </w:r>
                </w:p>
              </w:tc>
              <w:tc>
                <w:tcPr>
                  <w:tcW w:w="751" w:type="dxa"/>
                  <w:tcBorders>
                    <w:tl2br w:val="nil"/>
                    <w:tr2bl w:val="nil"/>
                  </w:tcBorders>
                  <w:shd w:val="clear" w:color="auto" w:fill="auto"/>
                  <w:noWrap/>
                  <w:vAlign w:val="center"/>
                </w:tcPr>
                <w:p w14:paraId="725AAEC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lang w:val="en-US" w:eastAsia="zh-CN"/>
                    </w:rPr>
                    <w:t>/a</w:t>
                  </w:r>
                </w:p>
              </w:tc>
              <w:tc>
                <w:tcPr>
                  <w:tcW w:w="853" w:type="dxa"/>
                  <w:tcBorders>
                    <w:tl2br w:val="nil"/>
                    <w:tr2bl w:val="nil"/>
                  </w:tcBorders>
                  <w:shd w:val="clear" w:color="auto" w:fill="auto"/>
                  <w:vAlign w:val="center"/>
                </w:tcPr>
                <w:p w14:paraId="22D8829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40</w:t>
                  </w: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00</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w:t>
                  </w:r>
                </w:p>
              </w:tc>
              <w:tc>
                <w:tcPr>
                  <w:tcW w:w="982" w:type="dxa"/>
                  <w:tcBorders>
                    <w:tl2br w:val="nil"/>
                    <w:tr2bl w:val="nil"/>
                  </w:tcBorders>
                  <w:shd w:val="clear" w:color="auto" w:fill="auto"/>
                  <w:vAlign w:val="center"/>
                </w:tcPr>
                <w:p w14:paraId="3B4A01E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w:t>
                  </w:r>
                  <w:r>
                    <w:rPr>
                      <w:rFonts w:hint="eastAsia" w:cs="Times New Roman" w:eastAsiaTheme="minorEastAsia"/>
                      <w:b w:val="0"/>
                      <w:bCs w:val="0"/>
                      <w:i w:val="0"/>
                      <w:iCs w:val="0"/>
                      <w:color w:val="auto"/>
                      <w:kern w:val="0"/>
                      <w:sz w:val="21"/>
                      <w:szCs w:val="21"/>
                      <w:highlight w:val="none"/>
                      <w:u w:val="none"/>
                      <w:lang w:val="en-US" w:eastAsia="zh-CN" w:bidi="ar"/>
                    </w:rPr>
                    <w:t>号</w:t>
                  </w:r>
                  <w:r>
                    <w:rPr>
                      <w:rFonts w:hint="eastAsia" w:ascii="Times New Roman" w:hAnsi="Times New Roman" w:cs="Times New Roman"/>
                      <w:b w:val="0"/>
                      <w:bCs w:val="0"/>
                      <w:i w:val="0"/>
                      <w:iCs w:val="0"/>
                      <w:color w:val="auto"/>
                      <w:kern w:val="0"/>
                      <w:sz w:val="21"/>
                      <w:szCs w:val="21"/>
                      <w:highlight w:val="none"/>
                      <w:u w:val="none"/>
                      <w:lang w:val="en-US" w:eastAsia="zh-CN" w:bidi="ar"/>
                    </w:rPr>
                    <w:t>和</w:t>
                  </w:r>
                  <w:r>
                    <w:rPr>
                      <w:rFonts w:hint="eastAsia" w:cs="Times New Roman"/>
                      <w:b w:val="0"/>
                      <w:bCs w:val="0"/>
                      <w:i w:val="0"/>
                      <w:iCs w:val="0"/>
                      <w:color w:val="auto"/>
                      <w:kern w:val="0"/>
                      <w:sz w:val="21"/>
                      <w:szCs w:val="21"/>
                      <w:highlight w:val="none"/>
                      <w:u w:val="none"/>
                      <w:lang w:val="en-US" w:eastAsia="zh-CN" w:bidi="ar"/>
                    </w:rPr>
                    <w:t>2号厂房</w:t>
                  </w:r>
                </w:p>
                <w:p w14:paraId="0540C1C2">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气体存放区</w:t>
                  </w:r>
                </w:p>
              </w:tc>
              <w:tc>
                <w:tcPr>
                  <w:tcW w:w="813" w:type="dxa"/>
                  <w:tcBorders>
                    <w:tl2br w:val="nil"/>
                    <w:tr2bl w:val="nil"/>
                  </w:tcBorders>
                  <w:shd w:val="clear" w:color="auto" w:fill="auto"/>
                  <w:vAlign w:val="center"/>
                </w:tcPr>
                <w:p w14:paraId="6E06DBAB">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罐装</w:t>
                  </w:r>
                </w:p>
              </w:tc>
              <w:tc>
                <w:tcPr>
                  <w:tcW w:w="813" w:type="dxa"/>
                  <w:tcBorders>
                    <w:tl2br w:val="nil"/>
                    <w:tr2bl w:val="nil"/>
                  </w:tcBorders>
                  <w:shd w:val="clear" w:color="auto" w:fill="auto"/>
                  <w:vAlign w:val="center"/>
                </w:tcPr>
                <w:p w14:paraId="0C22E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tcBorders>
                    <w:tl2br w:val="nil"/>
                    <w:tr2bl w:val="nil"/>
                  </w:tcBorders>
                  <w:shd w:val="clear" w:color="auto" w:fill="auto"/>
                  <w:vAlign w:val="center"/>
                </w:tcPr>
                <w:p w14:paraId="42D20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气态</w:t>
                  </w:r>
                </w:p>
              </w:tc>
              <w:tc>
                <w:tcPr>
                  <w:tcW w:w="822" w:type="dxa"/>
                  <w:tcBorders>
                    <w:tl2br w:val="nil"/>
                    <w:tr2bl w:val="nil"/>
                  </w:tcBorders>
                  <w:shd w:val="clear" w:color="auto" w:fill="auto"/>
                  <w:vAlign w:val="center"/>
                </w:tcPr>
                <w:p w14:paraId="26140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0CD30C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tcBorders>
                    <w:tl2br w:val="nil"/>
                    <w:tr2bl w:val="nil"/>
                  </w:tcBorders>
                  <w:shd w:val="clear" w:color="auto" w:fill="auto"/>
                  <w:vAlign w:val="center"/>
                </w:tcPr>
                <w:p w14:paraId="2250F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423" w:type="dxa"/>
                  <w:tcBorders>
                    <w:tl2br w:val="nil"/>
                    <w:tr2bl w:val="nil"/>
                  </w:tcBorders>
                  <w:shd w:val="clear" w:color="auto" w:fill="auto"/>
                  <w:vAlign w:val="center"/>
                </w:tcPr>
                <w:p w14:paraId="5D253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default" w:ascii="Times New Roman" w:hAnsi="Times New Roman" w:eastAsia="宋体" w:cs="Times New Roman"/>
                      <w:color w:val="auto"/>
                      <w:sz w:val="21"/>
                      <w:szCs w:val="21"/>
                      <w:highlight w:val="none"/>
                    </w:rPr>
                    <w:t>6</w:t>
                  </w:r>
                </w:p>
              </w:tc>
              <w:tc>
                <w:tcPr>
                  <w:tcW w:w="863" w:type="dxa"/>
                  <w:tcBorders>
                    <w:tl2br w:val="nil"/>
                    <w:tr2bl w:val="nil"/>
                  </w:tcBorders>
                  <w:shd w:val="clear" w:color="auto" w:fill="auto"/>
                  <w:vAlign w:val="center"/>
                </w:tcPr>
                <w:p w14:paraId="61C1B57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液压油</w:t>
                  </w:r>
                </w:p>
              </w:tc>
              <w:tc>
                <w:tcPr>
                  <w:tcW w:w="747" w:type="dxa"/>
                  <w:tcBorders>
                    <w:tl2br w:val="nil"/>
                    <w:tr2bl w:val="nil"/>
                  </w:tcBorders>
                  <w:shd w:val="clear" w:color="auto" w:fill="auto"/>
                  <w:noWrap/>
                  <w:vAlign w:val="center"/>
                </w:tcPr>
                <w:p w14:paraId="12508CE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0.5</w:t>
                  </w:r>
                </w:p>
              </w:tc>
              <w:tc>
                <w:tcPr>
                  <w:tcW w:w="751" w:type="dxa"/>
                  <w:tcBorders>
                    <w:tl2br w:val="nil"/>
                    <w:tr2bl w:val="nil"/>
                  </w:tcBorders>
                  <w:shd w:val="clear" w:color="auto" w:fill="auto"/>
                  <w:noWrap/>
                  <w:vAlign w:val="center"/>
                </w:tcPr>
                <w:p w14:paraId="3EE57F6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53" w:type="dxa"/>
                  <w:tcBorders>
                    <w:tl2br w:val="nil"/>
                    <w:tr2bl w:val="nil"/>
                  </w:tcBorders>
                  <w:shd w:val="clear" w:color="auto" w:fill="auto"/>
                  <w:vAlign w:val="center"/>
                </w:tcPr>
                <w:p w14:paraId="75E1A63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0.5</w:t>
                  </w:r>
                </w:p>
              </w:tc>
              <w:tc>
                <w:tcPr>
                  <w:tcW w:w="982" w:type="dxa"/>
                  <w:tcBorders>
                    <w:tl2br w:val="nil"/>
                    <w:tr2bl w:val="nil"/>
                  </w:tcBorders>
                  <w:shd w:val="clear" w:color="auto" w:fill="auto"/>
                  <w:vAlign w:val="center"/>
                </w:tcPr>
                <w:p w14:paraId="4FA9112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1号厂房</w:t>
                  </w:r>
                  <w:r>
                    <w:rPr>
                      <w:rFonts w:hint="eastAsia" w:ascii="Times New Roman" w:hAnsi="Times New Roman" w:cs="Times New Roman"/>
                      <w:b w:val="0"/>
                      <w:bCs w:val="0"/>
                      <w:color w:val="auto"/>
                      <w:sz w:val="21"/>
                      <w:szCs w:val="21"/>
                      <w:highlight w:val="none"/>
                      <w:lang w:val="en-US" w:eastAsia="zh-CN"/>
                    </w:rPr>
                    <w:t>原料库</w:t>
                  </w:r>
                </w:p>
              </w:tc>
              <w:tc>
                <w:tcPr>
                  <w:tcW w:w="813" w:type="dxa"/>
                  <w:tcBorders>
                    <w:tl2br w:val="nil"/>
                    <w:tr2bl w:val="nil"/>
                  </w:tcBorders>
                  <w:shd w:val="clear" w:color="auto" w:fill="auto"/>
                  <w:vAlign w:val="center"/>
                </w:tcPr>
                <w:p w14:paraId="5594F6D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eastAsiaTheme="minorEastAsia"/>
                      <w:b w:val="0"/>
                      <w:bCs w:val="0"/>
                      <w:color w:val="auto"/>
                      <w:sz w:val="21"/>
                      <w:szCs w:val="21"/>
                      <w:highlight w:val="none"/>
                      <w:lang w:val="en-US" w:eastAsia="zh-CN"/>
                    </w:rPr>
                  </w:pPr>
                  <w:r>
                    <w:rPr>
                      <w:rFonts w:hint="eastAsia"/>
                      <w:color w:val="auto"/>
                      <w:sz w:val="21"/>
                      <w:szCs w:val="21"/>
                      <w:highlight w:val="none"/>
                      <w:lang w:val="en-US" w:eastAsia="zh-CN"/>
                    </w:rPr>
                    <w:t>桶装</w:t>
                  </w:r>
                </w:p>
              </w:tc>
              <w:tc>
                <w:tcPr>
                  <w:tcW w:w="813" w:type="dxa"/>
                  <w:tcBorders>
                    <w:tl2br w:val="nil"/>
                    <w:tr2bl w:val="nil"/>
                  </w:tcBorders>
                  <w:shd w:val="clear" w:color="auto" w:fill="auto"/>
                  <w:vAlign w:val="center"/>
                </w:tcPr>
                <w:p w14:paraId="5079F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tcBorders>
                    <w:tl2br w:val="nil"/>
                    <w:tr2bl w:val="nil"/>
                  </w:tcBorders>
                  <w:shd w:val="clear" w:color="auto" w:fill="auto"/>
                  <w:vAlign w:val="center"/>
                </w:tcPr>
                <w:p w14:paraId="799697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tcBorders>
                    <w:tl2br w:val="nil"/>
                    <w:tr2bl w:val="nil"/>
                  </w:tcBorders>
                  <w:shd w:val="clear" w:color="auto" w:fill="auto"/>
                  <w:vAlign w:val="center"/>
                </w:tcPr>
                <w:p w14:paraId="38071E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7D3381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tcBorders>
                    <w:tl2br w:val="nil"/>
                    <w:tr2bl w:val="nil"/>
                  </w:tcBorders>
                  <w:shd w:val="clear" w:color="auto" w:fill="auto"/>
                  <w:vAlign w:val="center"/>
                </w:tcPr>
                <w:p w14:paraId="0A8314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rPr>
                  </w:pPr>
                </w:p>
              </w:tc>
              <w:tc>
                <w:tcPr>
                  <w:tcW w:w="423" w:type="dxa"/>
                  <w:tcBorders>
                    <w:tl2br w:val="nil"/>
                    <w:tr2bl w:val="nil"/>
                  </w:tcBorders>
                  <w:shd w:val="clear" w:color="auto" w:fill="auto"/>
                  <w:vAlign w:val="center"/>
                </w:tcPr>
                <w:p w14:paraId="323DE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default" w:ascii="Times New Roman" w:hAnsi="Times New Roman" w:eastAsia="宋体" w:cs="Times New Roman"/>
                      <w:color w:val="auto"/>
                      <w:sz w:val="21"/>
                      <w:szCs w:val="21"/>
                      <w:highlight w:val="none"/>
                    </w:rPr>
                    <w:t>7</w:t>
                  </w:r>
                </w:p>
              </w:tc>
              <w:tc>
                <w:tcPr>
                  <w:tcW w:w="863" w:type="dxa"/>
                  <w:tcBorders>
                    <w:tl2br w:val="nil"/>
                    <w:tr2bl w:val="nil"/>
                  </w:tcBorders>
                  <w:shd w:val="clear" w:color="auto" w:fill="auto"/>
                  <w:vAlign w:val="center"/>
                </w:tcPr>
                <w:p w14:paraId="60FD0FC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真空</w:t>
                  </w:r>
                </w:p>
                <w:p w14:paraId="2A9B037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泵油</w:t>
                  </w:r>
                </w:p>
              </w:tc>
              <w:tc>
                <w:tcPr>
                  <w:tcW w:w="747" w:type="dxa"/>
                  <w:tcBorders>
                    <w:tl2br w:val="nil"/>
                    <w:tr2bl w:val="nil"/>
                  </w:tcBorders>
                  <w:shd w:val="clear" w:color="auto" w:fill="auto"/>
                  <w:noWrap/>
                  <w:vAlign w:val="center"/>
                </w:tcPr>
                <w:p w14:paraId="022DE93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w:t>
                  </w:r>
                </w:p>
              </w:tc>
              <w:tc>
                <w:tcPr>
                  <w:tcW w:w="751" w:type="dxa"/>
                  <w:tcBorders>
                    <w:tl2br w:val="nil"/>
                    <w:tr2bl w:val="nil"/>
                  </w:tcBorders>
                  <w:shd w:val="clear" w:color="auto" w:fill="auto"/>
                  <w:noWrap/>
                  <w:vAlign w:val="center"/>
                </w:tcPr>
                <w:p w14:paraId="1AF9F64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53" w:type="dxa"/>
                  <w:tcBorders>
                    <w:tl2br w:val="nil"/>
                    <w:tr2bl w:val="nil"/>
                  </w:tcBorders>
                  <w:shd w:val="clear" w:color="auto" w:fill="auto"/>
                  <w:vAlign w:val="center"/>
                </w:tcPr>
                <w:p w14:paraId="055F6F1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w:t>
                  </w:r>
                </w:p>
              </w:tc>
              <w:tc>
                <w:tcPr>
                  <w:tcW w:w="982" w:type="dxa"/>
                  <w:tcBorders>
                    <w:tl2br w:val="nil"/>
                    <w:tr2bl w:val="nil"/>
                  </w:tcBorders>
                  <w:shd w:val="clear" w:color="auto" w:fill="auto"/>
                  <w:vAlign w:val="center"/>
                </w:tcPr>
                <w:p w14:paraId="4C6D995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1号厂房</w:t>
                  </w: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油品存放库</w:t>
                  </w:r>
                </w:p>
              </w:tc>
              <w:tc>
                <w:tcPr>
                  <w:tcW w:w="813" w:type="dxa"/>
                  <w:tcBorders>
                    <w:tl2br w:val="nil"/>
                    <w:tr2bl w:val="nil"/>
                  </w:tcBorders>
                  <w:shd w:val="clear" w:color="auto" w:fill="auto"/>
                  <w:vAlign w:val="center"/>
                </w:tcPr>
                <w:p w14:paraId="694D7B78">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eastAsiaTheme="minorEastAsia"/>
                      <w:b w:val="0"/>
                      <w:bCs w:val="0"/>
                      <w:color w:val="auto"/>
                      <w:sz w:val="21"/>
                      <w:szCs w:val="21"/>
                      <w:highlight w:val="none"/>
                      <w:lang w:val="en-US" w:eastAsia="zh-CN"/>
                    </w:rPr>
                  </w:pPr>
                  <w:r>
                    <w:rPr>
                      <w:rFonts w:hint="eastAsia"/>
                      <w:color w:val="auto"/>
                      <w:sz w:val="21"/>
                      <w:szCs w:val="21"/>
                      <w:highlight w:val="none"/>
                      <w:lang w:val="en-US" w:eastAsia="zh-CN"/>
                    </w:rPr>
                    <w:t>桶装</w:t>
                  </w:r>
                </w:p>
              </w:tc>
              <w:tc>
                <w:tcPr>
                  <w:tcW w:w="813" w:type="dxa"/>
                  <w:tcBorders>
                    <w:tl2br w:val="nil"/>
                    <w:tr2bl w:val="nil"/>
                  </w:tcBorders>
                  <w:shd w:val="clear" w:color="auto" w:fill="auto"/>
                  <w:vAlign w:val="center"/>
                </w:tcPr>
                <w:p w14:paraId="41B58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tcBorders>
                    <w:tl2br w:val="nil"/>
                    <w:tr2bl w:val="nil"/>
                  </w:tcBorders>
                  <w:shd w:val="clear" w:color="auto" w:fill="auto"/>
                  <w:vAlign w:val="center"/>
                </w:tcPr>
                <w:p w14:paraId="4074A1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tcBorders>
                    <w:tl2br w:val="nil"/>
                    <w:tr2bl w:val="nil"/>
                  </w:tcBorders>
                  <w:shd w:val="clear" w:color="auto" w:fill="auto"/>
                  <w:vAlign w:val="center"/>
                </w:tcPr>
                <w:p w14:paraId="2DC334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3B13DC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33A8DC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4806D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8</w:t>
                  </w:r>
                </w:p>
              </w:tc>
              <w:tc>
                <w:tcPr>
                  <w:tcW w:w="863" w:type="dxa"/>
                  <w:shd w:val="clear" w:color="auto" w:fill="auto"/>
                  <w:vAlign w:val="center"/>
                </w:tcPr>
                <w:p w14:paraId="5E17AEC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润滑油</w:t>
                  </w:r>
                </w:p>
              </w:tc>
              <w:tc>
                <w:tcPr>
                  <w:tcW w:w="747" w:type="dxa"/>
                  <w:shd w:val="clear" w:color="auto" w:fill="auto"/>
                  <w:vAlign w:val="center"/>
                </w:tcPr>
                <w:p w14:paraId="773FD09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0.055</w:t>
                  </w:r>
                </w:p>
              </w:tc>
              <w:tc>
                <w:tcPr>
                  <w:tcW w:w="751" w:type="dxa"/>
                  <w:shd w:val="clear" w:color="auto" w:fill="auto"/>
                  <w:vAlign w:val="center"/>
                </w:tcPr>
                <w:p w14:paraId="6A99352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53" w:type="dxa"/>
                  <w:shd w:val="clear" w:color="auto" w:fill="auto"/>
                  <w:vAlign w:val="center"/>
                </w:tcPr>
                <w:p w14:paraId="57A9B21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0.055</w:t>
                  </w:r>
                </w:p>
              </w:tc>
              <w:tc>
                <w:tcPr>
                  <w:tcW w:w="982" w:type="dxa"/>
                  <w:shd w:val="clear" w:color="auto" w:fill="auto"/>
                  <w:vAlign w:val="center"/>
                </w:tcPr>
                <w:p w14:paraId="32FD265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1号厂房</w:t>
                  </w: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油品存放库</w:t>
                  </w:r>
                </w:p>
              </w:tc>
              <w:tc>
                <w:tcPr>
                  <w:tcW w:w="813" w:type="dxa"/>
                  <w:shd w:val="clear" w:color="auto" w:fill="auto"/>
                  <w:vAlign w:val="center"/>
                </w:tcPr>
                <w:p w14:paraId="77FA2C9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eastAsiaTheme="minorEastAsia"/>
                      <w:b w:val="0"/>
                      <w:bCs w:val="0"/>
                      <w:color w:val="auto"/>
                      <w:sz w:val="21"/>
                      <w:szCs w:val="21"/>
                      <w:highlight w:val="none"/>
                      <w:lang w:val="en-US" w:eastAsia="zh-CN"/>
                    </w:rPr>
                  </w:pPr>
                  <w:r>
                    <w:rPr>
                      <w:rFonts w:hint="eastAsia"/>
                      <w:color w:val="auto"/>
                      <w:sz w:val="21"/>
                      <w:szCs w:val="21"/>
                      <w:highlight w:val="none"/>
                      <w:lang w:val="en-US" w:eastAsia="zh-CN"/>
                    </w:rPr>
                    <w:t>桶装</w:t>
                  </w:r>
                </w:p>
              </w:tc>
              <w:tc>
                <w:tcPr>
                  <w:tcW w:w="813" w:type="dxa"/>
                  <w:shd w:val="clear" w:color="auto" w:fill="auto"/>
                  <w:vAlign w:val="center"/>
                </w:tcPr>
                <w:p w14:paraId="3C54C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405E42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4A9BD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08FF76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461B0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5EE73B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9</w:t>
                  </w:r>
                </w:p>
              </w:tc>
              <w:tc>
                <w:tcPr>
                  <w:tcW w:w="863" w:type="dxa"/>
                  <w:shd w:val="clear" w:color="auto" w:fill="auto"/>
                  <w:vAlign w:val="center"/>
                </w:tcPr>
                <w:p w14:paraId="1D67748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切削液</w:t>
                  </w:r>
                </w:p>
              </w:tc>
              <w:tc>
                <w:tcPr>
                  <w:tcW w:w="747" w:type="dxa"/>
                  <w:shd w:val="clear" w:color="auto" w:fill="auto"/>
                  <w:vAlign w:val="center"/>
                </w:tcPr>
                <w:p w14:paraId="0D3C163D">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51" w:type="dxa"/>
                  <w:shd w:val="clear" w:color="auto" w:fill="auto"/>
                  <w:vAlign w:val="center"/>
                </w:tcPr>
                <w:p w14:paraId="14B21DE3">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53" w:type="dxa"/>
                  <w:shd w:val="clear" w:color="auto" w:fill="auto"/>
                  <w:vAlign w:val="center"/>
                </w:tcPr>
                <w:p w14:paraId="5A7C778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82" w:type="dxa"/>
                  <w:shd w:val="clear" w:color="auto" w:fill="auto"/>
                  <w:vAlign w:val="center"/>
                </w:tcPr>
                <w:p w14:paraId="36BE7B7B">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1号厂房</w:t>
                  </w: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油品存放库</w:t>
                  </w:r>
                </w:p>
              </w:tc>
              <w:tc>
                <w:tcPr>
                  <w:tcW w:w="813" w:type="dxa"/>
                  <w:shd w:val="clear" w:color="auto" w:fill="auto"/>
                  <w:vAlign w:val="center"/>
                </w:tcPr>
                <w:p w14:paraId="4926D20A">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eastAsiaTheme="minorEastAsia"/>
                      <w:b w:val="0"/>
                      <w:bCs w:val="0"/>
                      <w:color w:val="auto"/>
                      <w:sz w:val="21"/>
                      <w:szCs w:val="21"/>
                      <w:highlight w:val="none"/>
                      <w:lang w:val="en-US" w:eastAsia="zh-CN"/>
                    </w:rPr>
                  </w:pPr>
                  <w:r>
                    <w:rPr>
                      <w:rFonts w:hint="eastAsia"/>
                      <w:color w:val="auto"/>
                      <w:sz w:val="21"/>
                      <w:szCs w:val="21"/>
                      <w:highlight w:val="none"/>
                      <w:lang w:val="en-US" w:eastAsia="zh-CN"/>
                    </w:rPr>
                    <w:t>桶装</w:t>
                  </w:r>
                </w:p>
              </w:tc>
              <w:tc>
                <w:tcPr>
                  <w:tcW w:w="813" w:type="dxa"/>
                  <w:shd w:val="clear" w:color="auto" w:fill="auto"/>
                  <w:vAlign w:val="center"/>
                </w:tcPr>
                <w:p w14:paraId="63455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6DD62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69DDA7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276358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6E3E7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00E51F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10</w:t>
                  </w:r>
                </w:p>
              </w:tc>
              <w:tc>
                <w:tcPr>
                  <w:tcW w:w="863" w:type="dxa"/>
                  <w:shd w:val="clear" w:color="auto" w:fill="auto"/>
                  <w:vAlign w:val="center"/>
                </w:tcPr>
                <w:p w14:paraId="64C77D1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压缩</w:t>
                  </w:r>
                </w:p>
                <w:p w14:paraId="0B8C475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空气</w:t>
                  </w:r>
                </w:p>
              </w:tc>
              <w:tc>
                <w:tcPr>
                  <w:tcW w:w="747" w:type="dxa"/>
                  <w:shd w:val="clear" w:color="auto" w:fill="auto"/>
                  <w:vAlign w:val="center"/>
                </w:tcPr>
                <w:p w14:paraId="331B4A3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225000</w:t>
                  </w:r>
                </w:p>
              </w:tc>
              <w:tc>
                <w:tcPr>
                  <w:tcW w:w="751" w:type="dxa"/>
                  <w:shd w:val="clear" w:color="auto" w:fill="auto"/>
                  <w:vAlign w:val="center"/>
                </w:tcPr>
                <w:p w14:paraId="77845B5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m</w:t>
                  </w:r>
                  <w:r>
                    <w:rPr>
                      <w:rFonts w:hint="default" w:ascii="Times New Roman" w:hAnsi="Times New Roman" w:cs="Times New Roman" w:eastAsiaTheme="minorEastAsia"/>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/a</w:t>
                  </w:r>
                </w:p>
              </w:tc>
              <w:tc>
                <w:tcPr>
                  <w:tcW w:w="853" w:type="dxa"/>
                  <w:shd w:val="clear" w:color="auto" w:fill="auto"/>
                  <w:vAlign w:val="center"/>
                </w:tcPr>
                <w:p w14:paraId="3BDA418E">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m</w:t>
                  </w:r>
                  <w:r>
                    <w:rPr>
                      <w:rFonts w:hint="default" w:ascii="Times New Roman" w:hAnsi="Times New Roman" w:cs="Times New Roman" w:eastAsiaTheme="minorEastAsia"/>
                      <w:b w:val="0"/>
                      <w:bCs w:val="0"/>
                      <w:i w:val="0"/>
                      <w:iCs w:val="0"/>
                      <w:color w:val="auto"/>
                      <w:kern w:val="0"/>
                      <w:sz w:val="21"/>
                      <w:szCs w:val="21"/>
                      <w:highlight w:val="none"/>
                      <w:u w:val="none"/>
                      <w:vertAlign w:val="superscript"/>
                      <w:lang w:val="en-US" w:eastAsia="zh-CN" w:bidi="ar"/>
                    </w:rPr>
                    <w:t>3</w:t>
                  </w:r>
                </w:p>
              </w:tc>
              <w:tc>
                <w:tcPr>
                  <w:tcW w:w="982" w:type="dxa"/>
                  <w:shd w:val="clear" w:color="auto" w:fill="auto"/>
                  <w:vAlign w:val="center"/>
                </w:tcPr>
                <w:p w14:paraId="4015888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w:t>
                  </w:r>
                  <w:r>
                    <w:rPr>
                      <w:rFonts w:hint="eastAsia" w:cs="Times New Roman" w:eastAsiaTheme="minorEastAsia"/>
                      <w:b w:val="0"/>
                      <w:bCs w:val="0"/>
                      <w:i w:val="0"/>
                      <w:iCs w:val="0"/>
                      <w:color w:val="auto"/>
                      <w:kern w:val="0"/>
                      <w:sz w:val="21"/>
                      <w:szCs w:val="21"/>
                      <w:highlight w:val="none"/>
                      <w:u w:val="none"/>
                      <w:lang w:val="en-US" w:eastAsia="zh-CN" w:bidi="ar"/>
                    </w:rPr>
                    <w:t>号</w:t>
                  </w:r>
                  <w:r>
                    <w:rPr>
                      <w:rFonts w:hint="eastAsia" w:ascii="Times New Roman" w:hAnsi="Times New Roman" w:cs="Times New Roman"/>
                      <w:b w:val="0"/>
                      <w:bCs w:val="0"/>
                      <w:i w:val="0"/>
                      <w:iCs w:val="0"/>
                      <w:color w:val="auto"/>
                      <w:kern w:val="0"/>
                      <w:sz w:val="21"/>
                      <w:szCs w:val="21"/>
                      <w:highlight w:val="none"/>
                      <w:u w:val="none"/>
                      <w:lang w:val="en-US" w:eastAsia="zh-CN" w:bidi="ar"/>
                    </w:rPr>
                    <w:t>和</w:t>
                  </w:r>
                  <w:r>
                    <w:rPr>
                      <w:rFonts w:hint="eastAsia" w:cs="Times New Roman"/>
                      <w:b w:val="0"/>
                      <w:bCs w:val="0"/>
                      <w:i w:val="0"/>
                      <w:iCs w:val="0"/>
                      <w:color w:val="auto"/>
                      <w:kern w:val="0"/>
                      <w:sz w:val="21"/>
                      <w:szCs w:val="21"/>
                      <w:highlight w:val="none"/>
                      <w:u w:val="none"/>
                      <w:lang w:val="en-US" w:eastAsia="zh-CN" w:bidi="ar"/>
                    </w:rPr>
                    <w:t>2号厂房</w:t>
                  </w:r>
                </w:p>
                <w:p w14:paraId="216302D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气体存放区</w:t>
                  </w:r>
                </w:p>
              </w:tc>
              <w:tc>
                <w:tcPr>
                  <w:tcW w:w="813" w:type="dxa"/>
                  <w:shd w:val="clear" w:color="auto" w:fill="auto"/>
                  <w:vAlign w:val="center"/>
                </w:tcPr>
                <w:p w14:paraId="17420A1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罐装</w:t>
                  </w:r>
                </w:p>
              </w:tc>
              <w:tc>
                <w:tcPr>
                  <w:tcW w:w="813" w:type="dxa"/>
                  <w:shd w:val="clear" w:color="auto" w:fill="auto"/>
                  <w:vAlign w:val="center"/>
                </w:tcPr>
                <w:p w14:paraId="1FB7A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453210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气态</w:t>
                  </w:r>
                </w:p>
              </w:tc>
              <w:tc>
                <w:tcPr>
                  <w:tcW w:w="822" w:type="dxa"/>
                  <w:shd w:val="clear" w:color="auto" w:fill="auto"/>
                  <w:vAlign w:val="center"/>
                </w:tcPr>
                <w:p w14:paraId="151FDD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5659C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56E40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5FE872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11</w:t>
                  </w:r>
                </w:p>
              </w:tc>
              <w:tc>
                <w:tcPr>
                  <w:tcW w:w="863" w:type="dxa"/>
                  <w:shd w:val="clear" w:color="auto" w:fill="auto"/>
                  <w:vAlign w:val="center"/>
                </w:tcPr>
                <w:p w14:paraId="505EB7E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乙醚</w:t>
                  </w:r>
                </w:p>
              </w:tc>
              <w:tc>
                <w:tcPr>
                  <w:tcW w:w="747" w:type="dxa"/>
                  <w:shd w:val="clear" w:color="auto" w:fill="auto"/>
                  <w:vAlign w:val="center"/>
                </w:tcPr>
                <w:p w14:paraId="7BCDDE8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3</w:t>
                  </w:r>
                </w:p>
              </w:tc>
              <w:tc>
                <w:tcPr>
                  <w:tcW w:w="751" w:type="dxa"/>
                  <w:shd w:val="clear" w:color="auto" w:fill="auto"/>
                  <w:vAlign w:val="center"/>
                </w:tcPr>
                <w:p w14:paraId="036E118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L/a</w:t>
                  </w:r>
                </w:p>
              </w:tc>
              <w:tc>
                <w:tcPr>
                  <w:tcW w:w="853" w:type="dxa"/>
                  <w:shd w:val="clear" w:color="auto" w:fill="auto"/>
                  <w:vAlign w:val="center"/>
                </w:tcPr>
                <w:p w14:paraId="397B5C2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1</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w:t>
                  </w:r>
                </w:p>
              </w:tc>
              <w:tc>
                <w:tcPr>
                  <w:tcW w:w="982" w:type="dxa"/>
                  <w:vMerge w:val="restart"/>
                  <w:shd w:val="clear" w:color="auto" w:fill="auto"/>
                  <w:vAlign w:val="center"/>
                </w:tcPr>
                <w:p w14:paraId="3AC249E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科研实验楼专用储存柜</w:t>
                  </w:r>
                </w:p>
              </w:tc>
              <w:tc>
                <w:tcPr>
                  <w:tcW w:w="813" w:type="dxa"/>
                  <w:shd w:val="clear" w:color="auto" w:fill="auto"/>
                  <w:vAlign w:val="center"/>
                </w:tcPr>
                <w:p w14:paraId="25BE381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瓶装</w:t>
                  </w:r>
                </w:p>
              </w:tc>
              <w:tc>
                <w:tcPr>
                  <w:tcW w:w="813" w:type="dxa"/>
                  <w:shd w:val="clear" w:color="auto" w:fill="auto"/>
                  <w:vAlign w:val="center"/>
                </w:tcPr>
                <w:p w14:paraId="6AFF3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6C82B6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3B70E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99%</w:t>
                  </w:r>
                </w:p>
              </w:tc>
            </w:tr>
            <w:tr w14:paraId="56589F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7B6238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1C750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12</w:t>
                  </w:r>
                </w:p>
              </w:tc>
              <w:tc>
                <w:tcPr>
                  <w:tcW w:w="863" w:type="dxa"/>
                  <w:shd w:val="clear" w:color="auto" w:fill="auto"/>
                  <w:vAlign w:val="center"/>
                </w:tcPr>
                <w:p w14:paraId="0FC3FB9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无水</w:t>
                  </w:r>
                </w:p>
                <w:p w14:paraId="063DDD6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乙醇</w:t>
                  </w:r>
                </w:p>
              </w:tc>
              <w:tc>
                <w:tcPr>
                  <w:tcW w:w="747" w:type="dxa"/>
                  <w:shd w:val="clear" w:color="auto" w:fill="auto"/>
                  <w:vAlign w:val="center"/>
                </w:tcPr>
                <w:p w14:paraId="34E205E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100</w:t>
                  </w:r>
                </w:p>
              </w:tc>
              <w:tc>
                <w:tcPr>
                  <w:tcW w:w="751" w:type="dxa"/>
                  <w:shd w:val="clear" w:color="auto" w:fill="auto"/>
                  <w:vAlign w:val="center"/>
                </w:tcPr>
                <w:p w14:paraId="098C2B5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L/a</w:t>
                  </w:r>
                </w:p>
              </w:tc>
              <w:tc>
                <w:tcPr>
                  <w:tcW w:w="853" w:type="dxa"/>
                  <w:shd w:val="clear" w:color="auto" w:fill="auto"/>
                  <w:vAlign w:val="center"/>
                </w:tcPr>
                <w:p w14:paraId="5DF285F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5L</w:t>
                  </w:r>
                </w:p>
              </w:tc>
              <w:tc>
                <w:tcPr>
                  <w:tcW w:w="982" w:type="dxa"/>
                  <w:vMerge w:val="continue"/>
                  <w:shd w:val="clear" w:color="auto" w:fill="auto"/>
                  <w:vAlign w:val="center"/>
                </w:tcPr>
                <w:p w14:paraId="6902943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p>
              </w:tc>
              <w:tc>
                <w:tcPr>
                  <w:tcW w:w="813" w:type="dxa"/>
                  <w:shd w:val="clear" w:color="auto" w:fill="auto"/>
                  <w:vAlign w:val="center"/>
                </w:tcPr>
                <w:p w14:paraId="21B6418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瓶装</w:t>
                  </w:r>
                </w:p>
              </w:tc>
              <w:tc>
                <w:tcPr>
                  <w:tcW w:w="813" w:type="dxa"/>
                  <w:shd w:val="clear" w:color="auto" w:fill="auto"/>
                  <w:vAlign w:val="center"/>
                </w:tcPr>
                <w:p w14:paraId="24561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65D12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366458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95%</w:t>
                  </w:r>
                </w:p>
              </w:tc>
            </w:tr>
            <w:tr w14:paraId="773D0D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15A0B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13F51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13</w:t>
                  </w:r>
                </w:p>
              </w:tc>
              <w:tc>
                <w:tcPr>
                  <w:tcW w:w="863" w:type="dxa"/>
                  <w:shd w:val="clear" w:color="auto" w:fill="auto"/>
                  <w:vAlign w:val="center"/>
                </w:tcPr>
                <w:p w14:paraId="6B4BD86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盐酸</w:t>
                  </w:r>
                </w:p>
              </w:tc>
              <w:tc>
                <w:tcPr>
                  <w:tcW w:w="747" w:type="dxa"/>
                  <w:shd w:val="clear" w:color="auto" w:fill="auto"/>
                  <w:vAlign w:val="center"/>
                </w:tcPr>
                <w:p w14:paraId="1DBC38C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80</w:t>
                  </w:r>
                </w:p>
              </w:tc>
              <w:tc>
                <w:tcPr>
                  <w:tcW w:w="751" w:type="dxa"/>
                  <w:shd w:val="clear" w:color="auto" w:fill="auto"/>
                  <w:vAlign w:val="center"/>
                </w:tcPr>
                <w:p w14:paraId="58C15FD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L/a</w:t>
                  </w:r>
                </w:p>
              </w:tc>
              <w:tc>
                <w:tcPr>
                  <w:tcW w:w="853" w:type="dxa"/>
                  <w:shd w:val="clear" w:color="auto" w:fill="auto"/>
                  <w:vAlign w:val="center"/>
                </w:tcPr>
                <w:p w14:paraId="332986B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20L</w:t>
                  </w:r>
                </w:p>
              </w:tc>
              <w:tc>
                <w:tcPr>
                  <w:tcW w:w="982" w:type="dxa"/>
                  <w:vMerge w:val="continue"/>
                  <w:shd w:val="clear" w:color="auto" w:fill="auto"/>
                  <w:vAlign w:val="center"/>
                </w:tcPr>
                <w:p w14:paraId="08AFB5E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p>
              </w:tc>
              <w:tc>
                <w:tcPr>
                  <w:tcW w:w="813" w:type="dxa"/>
                  <w:shd w:val="clear" w:color="auto" w:fill="auto"/>
                  <w:vAlign w:val="center"/>
                </w:tcPr>
                <w:p w14:paraId="53E884F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瓶装</w:t>
                  </w:r>
                </w:p>
              </w:tc>
              <w:tc>
                <w:tcPr>
                  <w:tcW w:w="813" w:type="dxa"/>
                  <w:shd w:val="clear" w:color="auto" w:fill="auto"/>
                  <w:vAlign w:val="center"/>
                </w:tcPr>
                <w:p w14:paraId="65EE0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47A74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7F731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38%</w:t>
                  </w:r>
                </w:p>
              </w:tc>
            </w:tr>
            <w:tr w14:paraId="7E7B6A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5E0F1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53393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14</w:t>
                  </w:r>
                </w:p>
              </w:tc>
              <w:tc>
                <w:tcPr>
                  <w:tcW w:w="863" w:type="dxa"/>
                  <w:shd w:val="clear" w:color="auto" w:fill="auto"/>
                  <w:vAlign w:val="center"/>
                </w:tcPr>
                <w:p w14:paraId="63B1322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硫酸</w:t>
                  </w:r>
                </w:p>
              </w:tc>
              <w:tc>
                <w:tcPr>
                  <w:tcW w:w="747" w:type="dxa"/>
                  <w:shd w:val="clear" w:color="auto" w:fill="auto"/>
                  <w:vAlign w:val="center"/>
                </w:tcPr>
                <w:p w14:paraId="0EF9DE5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40</w:t>
                  </w:r>
                </w:p>
              </w:tc>
              <w:tc>
                <w:tcPr>
                  <w:tcW w:w="751" w:type="dxa"/>
                  <w:shd w:val="clear" w:color="auto" w:fill="auto"/>
                  <w:vAlign w:val="center"/>
                </w:tcPr>
                <w:p w14:paraId="04A6CD1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L/a</w:t>
                  </w:r>
                </w:p>
              </w:tc>
              <w:tc>
                <w:tcPr>
                  <w:tcW w:w="853" w:type="dxa"/>
                  <w:shd w:val="clear" w:color="auto" w:fill="auto"/>
                  <w:vAlign w:val="center"/>
                </w:tcPr>
                <w:p w14:paraId="1E3EC56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20L</w:t>
                  </w:r>
                </w:p>
              </w:tc>
              <w:tc>
                <w:tcPr>
                  <w:tcW w:w="982" w:type="dxa"/>
                  <w:vMerge w:val="continue"/>
                  <w:shd w:val="clear" w:color="auto" w:fill="auto"/>
                  <w:vAlign w:val="center"/>
                </w:tcPr>
                <w:p w14:paraId="145053F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p>
              </w:tc>
              <w:tc>
                <w:tcPr>
                  <w:tcW w:w="813" w:type="dxa"/>
                  <w:shd w:val="clear" w:color="auto" w:fill="auto"/>
                  <w:vAlign w:val="center"/>
                </w:tcPr>
                <w:p w14:paraId="29459CE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瓶装</w:t>
                  </w:r>
                </w:p>
              </w:tc>
              <w:tc>
                <w:tcPr>
                  <w:tcW w:w="813" w:type="dxa"/>
                  <w:shd w:val="clear" w:color="auto" w:fill="auto"/>
                  <w:vAlign w:val="center"/>
                </w:tcPr>
                <w:p w14:paraId="1EF10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374ED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3FCFD1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98.3%</w:t>
                  </w:r>
                </w:p>
              </w:tc>
            </w:tr>
            <w:tr w14:paraId="6AD797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6AAAC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13873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15</w:t>
                  </w:r>
                </w:p>
              </w:tc>
              <w:tc>
                <w:tcPr>
                  <w:tcW w:w="863" w:type="dxa"/>
                  <w:shd w:val="clear" w:color="auto" w:fill="auto"/>
                  <w:vAlign w:val="center"/>
                </w:tcPr>
                <w:p w14:paraId="21BAF00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硝酸</w:t>
                  </w:r>
                </w:p>
              </w:tc>
              <w:tc>
                <w:tcPr>
                  <w:tcW w:w="747" w:type="dxa"/>
                  <w:shd w:val="clear" w:color="auto" w:fill="auto"/>
                  <w:vAlign w:val="center"/>
                </w:tcPr>
                <w:p w14:paraId="3EF4967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70</w:t>
                  </w:r>
                </w:p>
              </w:tc>
              <w:tc>
                <w:tcPr>
                  <w:tcW w:w="751" w:type="dxa"/>
                  <w:shd w:val="clear" w:color="auto" w:fill="auto"/>
                  <w:vAlign w:val="center"/>
                </w:tcPr>
                <w:p w14:paraId="4EB36B9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L/a</w:t>
                  </w:r>
                </w:p>
              </w:tc>
              <w:tc>
                <w:tcPr>
                  <w:tcW w:w="853" w:type="dxa"/>
                  <w:shd w:val="clear" w:color="auto" w:fill="auto"/>
                  <w:vAlign w:val="center"/>
                </w:tcPr>
                <w:p w14:paraId="22C2234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20L</w:t>
                  </w:r>
                </w:p>
              </w:tc>
              <w:tc>
                <w:tcPr>
                  <w:tcW w:w="982" w:type="dxa"/>
                  <w:vMerge w:val="continue"/>
                  <w:shd w:val="clear" w:color="auto" w:fill="auto"/>
                  <w:vAlign w:val="center"/>
                </w:tcPr>
                <w:p w14:paraId="553DB5C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p>
              </w:tc>
              <w:tc>
                <w:tcPr>
                  <w:tcW w:w="813" w:type="dxa"/>
                  <w:shd w:val="clear" w:color="auto" w:fill="auto"/>
                  <w:vAlign w:val="center"/>
                </w:tcPr>
                <w:p w14:paraId="04CDD93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瓶装</w:t>
                  </w:r>
                </w:p>
              </w:tc>
              <w:tc>
                <w:tcPr>
                  <w:tcW w:w="813" w:type="dxa"/>
                  <w:shd w:val="clear" w:color="auto" w:fill="auto"/>
                  <w:vAlign w:val="center"/>
                </w:tcPr>
                <w:p w14:paraId="029D2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5C2DF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16DCA1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68%</w:t>
                  </w:r>
                </w:p>
              </w:tc>
            </w:tr>
            <w:tr w14:paraId="48DAC4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21756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7EAE7A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16</w:t>
                  </w:r>
                </w:p>
              </w:tc>
              <w:tc>
                <w:tcPr>
                  <w:tcW w:w="863" w:type="dxa"/>
                  <w:shd w:val="clear" w:color="auto" w:fill="auto"/>
                  <w:vAlign w:val="center"/>
                </w:tcPr>
                <w:p w14:paraId="65833F8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磷酸</w:t>
                  </w:r>
                </w:p>
              </w:tc>
              <w:tc>
                <w:tcPr>
                  <w:tcW w:w="747" w:type="dxa"/>
                  <w:shd w:val="clear" w:color="auto" w:fill="auto"/>
                  <w:vAlign w:val="center"/>
                </w:tcPr>
                <w:p w14:paraId="1984A52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10</w:t>
                  </w:r>
                </w:p>
              </w:tc>
              <w:tc>
                <w:tcPr>
                  <w:tcW w:w="751" w:type="dxa"/>
                  <w:shd w:val="clear" w:color="auto" w:fill="auto"/>
                  <w:vAlign w:val="center"/>
                </w:tcPr>
                <w:p w14:paraId="23A322E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L/a</w:t>
                  </w:r>
                </w:p>
              </w:tc>
              <w:tc>
                <w:tcPr>
                  <w:tcW w:w="853" w:type="dxa"/>
                  <w:shd w:val="clear" w:color="auto" w:fill="auto"/>
                  <w:vAlign w:val="center"/>
                </w:tcPr>
                <w:p w14:paraId="7429C2B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1L</w:t>
                  </w:r>
                </w:p>
              </w:tc>
              <w:tc>
                <w:tcPr>
                  <w:tcW w:w="982" w:type="dxa"/>
                  <w:vMerge w:val="continue"/>
                  <w:shd w:val="clear" w:color="auto" w:fill="auto"/>
                  <w:vAlign w:val="center"/>
                </w:tcPr>
                <w:p w14:paraId="5561E26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p>
              </w:tc>
              <w:tc>
                <w:tcPr>
                  <w:tcW w:w="813" w:type="dxa"/>
                  <w:shd w:val="clear" w:color="auto" w:fill="auto"/>
                  <w:vAlign w:val="center"/>
                </w:tcPr>
                <w:p w14:paraId="4F3FFCB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瓶装</w:t>
                  </w:r>
                </w:p>
              </w:tc>
              <w:tc>
                <w:tcPr>
                  <w:tcW w:w="813" w:type="dxa"/>
                  <w:shd w:val="clear" w:color="auto" w:fill="auto"/>
                  <w:vAlign w:val="center"/>
                </w:tcPr>
                <w:p w14:paraId="79DAC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5067A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40669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85%</w:t>
                  </w:r>
                </w:p>
              </w:tc>
            </w:tr>
            <w:tr w14:paraId="390707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5784D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72A06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17</w:t>
                  </w:r>
                </w:p>
              </w:tc>
              <w:tc>
                <w:tcPr>
                  <w:tcW w:w="863" w:type="dxa"/>
                  <w:shd w:val="clear" w:color="auto" w:fill="auto"/>
                  <w:vAlign w:val="center"/>
                </w:tcPr>
                <w:p w14:paraId="4C856E4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氢氟酸</w:t>
                  </w:r>
                </w:p>
              </w:tc>
              <w:tc>
                <w:tcPr>
                  <w:tcW w:w="747" w:type="dxa"/>
                  <w:shd w:val="clear" w:color="auto" w:fill="auto"/>
                  <w:vAlign w:val="center"/>
                </w:tcPr>
                <w:p w14:paraId="2D539FB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20</w:t>
                  </w:r>
                </w:p>
              </w:tc>
              <w:tc>
                <w:tcPr>
                  <w:tcW w:w="751" w:type="dxa"/>
                  <w:shd w:val="clear" w:color="auto" w:fill="auto"/>
                  <w:vAlign w:val="center"/>
                </w:tcPr>
                <w:p w14:paraId="5B4C6F4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L/a</w:t>
                  </w:r>
                </w:p>
              </w:tc>
              <w:tc>
                <w:tcPr>
                  <w:tcW w:w="853" w:type="dxa"/>
                  <w:shd w:val="clear" w:color="auto" w:fill="auto"/>
                  <w:vAlign w:val="center"/>
                </w:tcPr>
                <w:p w14:paraId="709E72C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1L</w:t>
                  </w:r>
                </w:p>
              </w:tc>
              <w:tc>
                <w:tcPr>
                  <w:tcW w:w="982" w:type="dxa"/>
                  <w:vMerge w:val="continue"/>
                  <w:shd w:val="clear" w:color="auto" w:fill="auto"/>
                  <w:vAlign w:val="center"/>
                </w:tcPr>
                <w:p w14:paraId="352A08C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p>
              </w:tc>
              <w:tc>
                <w:tcPr>
                  <w:tcW w:w="813" w:type="dxa"/>
                  <w:shd w:val="clear" w:color="auto" w:fill="auto"/>
                  <w:vAlign w:val="center"/>
                </w:tcPr>
                <w:p w14:paraId="2A08DA9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瓶装</w:t>
                  </w:r>
                </w:p>
              </w:tc>
              <w:tc>
                <w:tcPr>
                  <w:tcW w:w="813" w:type="dxa"/>
                  <w:shd w:val="clear" w:color="auto" w:fill="auto"/>
                  <w:vAlign w:val="center"/>
                </w:tcPr>
                <w:p w14:paraId="4AE05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7B3EE0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301F6C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r>
            <w:tr w14:paraId="29A48A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76C4E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30577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18</w:t>
                  </w:r>
                </w:p>
              </w:tc>
              <w:tc>
                <w:tcPr>
                  <w:tcW w:w="863" w:type="dxa"/>
                  <w:shd w:val="clear" w:color="auto" w:fill="auto"/>
                  <w:vAlign w:val="center"/>
                </w:tcPr>
                <w:p w14:paraId="4E4F836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元素标准溶液</w:t>
                  </w:r>
                </w:p>
              </w:tc>
              <w:tc>
                <w:tcPr>
                  <w:tcW w:w="747" w:type="dxa"/>
                  <w:shd w:val="clear" w:color="auto" w:fill="auto"/>
                  <w:vAlign w:val="center"/>
                </w:tcPr>
                <w:p w14:paraId="4189E8B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w:t>
                  </w:r>
                </w:p>
              </w:tc>
              <w:tc>
                <w:tcPr>
                  <w:tcW w:w="751" w:type="dxa"/>
                  <w:shd w:val="clear" w:color="auto" w:fill="auto"/>
                  <w:vAlign w:val="center"/>
                </w:tcPr>
                <w:p w14:paraId="40D68C9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L/a</w:t>
                  </w:r>
                </w:p>
              </w:tc>
              <w:tc>
                <w:tcPr>
                  <w:tcW w:w="853" w:type="dxa"/>
                  <w:shd w:val="clear" w:color="auto" w:fill="auto"/>
                  <w:vAlign w:val="center"/>
                </w:tcPr>
                <w:p w14:paraId="2A8FACA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1L</w:t>
                  </w:r>
                </w:p>
              </w:tc>
              <w:tc>
                <w:tcPr>
                  <w:tcW w:w="982" w:type="dxa"/>
                  <w:vMerge w:val="continue"/>
                  <w:shd w:val="clear" w:color="auto" w:fill="auto"/>
                  <w:vAlign w:val="center"/>
                </w:tcPr>
                <w:p w14:paraId="18F05EC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p>
              </w:tc>
              <w:tc>
                <w:tcPr>
                  <w:tcW w:w="813" w:type="dxa"/>
                  <w:shd w:val="clear" w:color="auto" w:fill="auto"/>
                  <w:vAlign w:val="center"/>
                </w:tcPr>
                <w:p w14:paraId="003A44A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瓶装</w:t>
                  </w:r>
                </w:p>
              </w:tc>
              <w:tc>
                <w:tcPr>
                  <w:tcW w:w="813" w:type="dxa"/>
                  <w:shd w:val="clear" w:color="auto" w:fill="auto"/>
                  <w:vAlign w:val="center"/>
                </w:tcPr>
                <w:p w14:paraId="59981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40862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4D52D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5881F0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191F7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29E35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19</w:t>
                  </w:r>
                </w:p>
              </w:tc>
              <w:tc>
                <w:tcPr>
                  <w:tcW w:w="863" w:type="dxa"/>
                  <w:shd w:val="clear" w:color="auto" w:fill="auto"/>
                  <w:vAlign w:val="center"/>
                </w:tcPr>
                <w:p w14:paraId="2811610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纯水</w:t>
                  </w:r>
                </w:p>
              </w:tc>
              <w:tc>
                <w:tcPr>
                  <w:tcW w:w="747" w:type="dxa"/>
                  <w:shd w:val="clear" w:color="auto" w:fill="auto"/>
                  <w:vAlign w:val="center"/>
                </w:tcPr>
                <w:p w14:paraId="4097D33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2</w:t>
                  </w:r>
                  <w:r>
                    <w:rPr>
                      <w:rFonts w:hint="eastAsia" w:cs="Times New Roman" w:eastAsiaTheme="minorEastAsia"/>
                      <w:b w:val="0"/>
                      <w:bCs w:val="0"/>
                      <w:i w:val="0"/>
                      <w:iCs w:val="0"/>
                      <w:color w:val="auto"/>
                      <w:kern w:val="0"/>
                      <w:sz w:val="21"/>
                      <w:szCs w:val="21"/>
                      <w:highlight w:val="none"/>
                      <w:u w:val="none"/>
                      <w:lang w:val="en-US" w:eastAsia="zh-CN" w:bidi="ar"/>
                    </w:rPr>
                    <w:t>3</w:t>
                  </w:r>
                </w:p>
              </w:tc>
              <w:tc>
                <w:tcPr>
                  <w:tcW w:w="751" w:type="dxa"/>
                  <w:shd w:val="clear" w:color="auto" w:fill="auto"/>
                  <w:vAlign w:val="center"/>
                </w:tcPr>
                <w:p w14:paraId="0C9BFE5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m</w:t>
                  </w:r>
                  <w:r>
                    <w:rPr>
                      <w:rFonts w:hint="eastAsia" w:ascii="Times New Roman" w:hAnsi="Times New Roman" w:cs="Times New Roman" w:eastAsiaTheme="minorEastAsia"/>
                      <w:b w:val="0"/>
                      <w:bCs w:val="0"/>
                      <w:i w:val="0"/>
                      <w:iCs w:val="0"/>
                      <w:color w:val="auto"/>
                      <w:kern w:val="0"/>
                      <w:sz w:val="21"/>
                      <w:szCs w:val="21"/>
                      <w:highlight w:val="none"/>
                      <w:u w:val="none"/>
                      <w:vertAlign w:val="superscript"/>
                      <w:lang w:val="en-US" w:eastAsia="zh-CN" w:bidi="ar"/>
                    </w:rPr>
                    <w:t>3</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/a</w:t>
                  </w:r>
                </w:p>
              </w:tc>
              <w:tc>
                <w:tcPr>
                  <w:tcW w:w="853" w:type="dxa"/>
                  <w:shd w:val="clear" w:color="auto" w:fill="auto"/>
                  <w:vAlign w:val="center"/>
                </w:tcPr>
                <w:p w14:paraId="35AD9D6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10</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w:t>
                  </w:r>
                </w:p>
              </w:tc>
              <w:tc>
                <w:tcPr>
                  <w:tcW w:w="982" w:type="dxa"/>
                  <w:vMerge w:val="continue"/>
                  <w:shd w:val="clear" w:color="auto" w:fill="auto"/>
                  <w:vAlign w:val="center"/>
                </w:tcPr>
                <w:p w14:paraId="6D53DAB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p>
              </w:tc>
              <w:tc>
                <w:tcPr>
                  <w:tcW w:w="813" w:type="dxa"/>
                  <w:shd w:val="clear" w:color="auto" w:fill="auto"/>
                  <w:vAlign w:val="center"/>
                </w:tcPr>
                <w:p w14:paraId="51E5AB0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桶装</w:t>
                  </w:r>
                </w:p>
              </w:tc>
              <w:tc>
                <w:tcPr>
                  <w:tcW w:w="813" w:type="dxa"/>
                  <w:shd w:val="clear" w:color="auto" w:fill="auto"/>
                  <w:vAlign w:val="center"/>
                </w:tcPr>
                <w:p w14:paraId="02F96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0F5421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22" w:type="dxa"/>
                  <w:shd w:val="clear" w:color="auto" w:fill="auto"/>
                  <w:vAlign w:val="center"/>
                </w:tcPr>
                <w:p w14:paraId="2A037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0A15E1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63EB2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19D35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20</w:t>
                  </w:r>
                </w:p>
              </w:tc>
              <w:tc>
                <w:tcPr>
                  <w:tcW w:w="863" w:type="dxa"/>
                  <w:shd w:val="clear" w:color="auto" w:fill="auto"/>
                  <w:vAlign w:val="center"/>
                </w:tcPr>
                <w:p w14:paraId="7D5CEB2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氩气</w:t>
                  </w:r>
                </w:p>
              </w:tc>
              <w:tc>
                <w:tcPr>
                  <w:tcW w:w="747" w:type="dxa"/>
                  <w:shd w:val="clear" w:color="auto" w:fill="auto"/>
                  <w:vAlign w:val="center"/>
                </w:tcPr>
                <w:p w14:paraId="2FC8052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80</w:t>
                  </w:r>
                </w:p>
              </w:tc>
              <w:tc>
                <w:tcPr>
                  <w:tcW w:w="751" w:type="dxa"/>
                  <w:shd w:val="clear" w:color="auto" w:fill="auto"/>
                  <w:vAlign w:val="center"/>
                </w:tcPr>
                <w:p w14:paraId="0667A78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w:t>
                  </w:r>
                </w:p>
              </w:tc>
              <w:tc>
                <w:tcPr>
                  <w:tcW w:w="853" w:type="dxa"/>
                  <w:shd w:val="clear" w:color="auto" w:fill="auto"/>
                  <w:vAlign w:val="center"/>
                </w:tcPr>
                <w:p w14:paraId="2AD37EA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4</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w:t>
                  </w:r>
                </w:p>
              </w:tc>
              <w:tc>
                <w:tcPr>
                  <w:tcW w:w="982" w:type="dxa"/>
                  <w:vMerge w:val="restart"/>
                  <w:shd w:val="clear" w:color="auto" w:fill="auto"/>
                  <w:vAlign w:val="center"/>
                </w:tcPr>
                <w:p w14:paraId="0455BF2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科研实验楼专用</w:t>
                  </w: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气瓶柜</w:t>
                  </w:r>
                </w:p>
              </w:tc>
              <w:tc>
                <w:tcPr>
                  <w:tcW w:w="813" w:type="dxa"/>
                  <w:shd w:val="clear" w:color="auto" w:fill="auto"/>
                  <w:vAlign w:val="center"/>
                </w:tcPr>
                <w:p w14:paraId="60FE3A9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罐装</w:t>
                  </w:r>
                </w:p>
              </w:tc>
              <w:tc>
                <w:tcPr>
                  <w:tcW w:w="813" w:type="dxa"/>
                  <w:shd w:val="clear" w:color="auto" w:fill="auto"/>
                  <w:vAlign w:val="center"/>
                </w:tcPr>
                <w:p w14:paraId="67CC3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65B2B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气态</w:t>
                  </w:r>
                </w:p>
              </w:tc>
              <w:tc>
                <w:tcPr>
                  <w:tcW w:w="822" w:type="dxa"/>
                  <w:shd w:val="clear" w:color="auto" w:fill="auto"/>
                  <w:vAlign w:val="center"/>
                </w:tcPr>
                <w:p w14:paraId="103C8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4F5E32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3F8A6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4481E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21</w:t>
                  </w:r>
                </w:p>
              </w:tc>
              <w:tc>
                <w:tcPr>
                  <w:tcW w:w="863" w:type="dxa"/>
                  <w:shd w:val="clear" w:color="auto" w:fill="auto"/>
                  <w:vAlign w:val="center"/>
                </w:tcPr>
                <w:p w14:paraId="7415514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氮气</w:t>
                  </w:r>
                </w:p>
              </w:tc>
              <w:tc>
                <w:tcPr>
                  <w:tcW w:w="747" w:type="dxa"/>
                  <w:shd w:val="clear" w:color="auto" w:fill="auto"/>
                  <w:vAlign w:val="center"/>
                </w:tcPr>
                <w:p w14:paraId="14EA753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30</w:t>
                  </w:r>
                </w:p>
              </w:tc>
              <w:tc>
                <w:tcPr>
                  <w:tcW w:w="751" w:type="dxa"/>
                  <w:shd w:val="clear" w:color="auto" w:fill="auto"/>
                  <w:vAlign w:val="center"/>
                </w:tcPr>
                <w:p w14:paraId="6E1A471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w:t>
                  </w:r>
                </w:p>
              </w:tc>
              <w:tc>
                <w:tcPr>
                  <w:tcW w:w="853" w:type="dxa"/>
                  <w:shd w:val="clear" w:color="auto" w:fill="auto"/>
                  <w:vAlign w:val="center"/>
                </w:tcPr>
                <w:p w14:paraId="0EE3363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2</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w:t>
                  </w:r>
                </w:p>
              </w:tc>
              <w:tc>
                <w:tcPr>
                  <w:tcW w:w="982" w:type="dxa"/>
                  <w:vMerge w:val="continue"/>
                  <w:shd w:val="clear" w:color="auto" w:fill="auto"/>
                  <w:vAlign w:val="center"/>
                </w:tcPr>
                <w:p w14:paraId="774658C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813" w:type="dxa"/>
                  <w:shd w:val="clear" w:color="auto" w:fill="auto"/>
                  <w:vAlign w:val="center"/>
                </w:tcPr>
                <w:p w14:paraId="3E39EE2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eastAsiaTheme="minorEastAsia"/>
                      <w:b w:val="0"/>
                      <w:bCs w:val="0"/>
                      <w:i w:val="0"/>
                      <w:iCs w:val="0"/>
                      <w:color w:val="auto"/>
                      <w:kern w:val="0"/>
                      <w:sz w:val="21"/>
                      <w:szCs w:val="21"/>
                      <w:highlight w:val="none"/>
                      <w:u w:val="none"/>
                      <w:lang w:val="en-US" w:eastAsia="zh-CN" w:bidi="ar"/>
                    </w:rPr>
                    <w:t>罐装</w:t>
                  </w:r>
                </w:p>
              </w:tc>
              <w:tc>
                <w:tcPr>
                  <w:tcW w:w="813" w:type="dxa"/>
                  <w:shd w:val="clear" w:color="auto" w:fill="auto"/>
                  <w:vAlign w:val="center"/>
                </w:tcPr>
                <w:p w14:paraId="277868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794602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气态</w:t>
                  </w:r>
                </w:p>
              </w:tc>
              <w:tc>
                <w:tcPr>
                  <w:tcW w:w="822" w:type="dxa"/>
                  <w:shd w:val="clear" w:color="auto" w:fill="auto"/>
                  <w:vAlign w:val="center"/>
                </w:tcPr>
                <w:p w14:paraId="77EAD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4F4EBE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1EE11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7F7A5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96"/>
                      <w:rFonts w:hint="eastAsia" w:ascii="Times New Roman" w:hAnsi="Times New Roman" w:eastAsia="宋体" w:cs="Times New Roman"/>
                      <w:color w:val="auto"/>
                      <w:sz w:val="21"/>
                      <w:szCs w:val="21"/>
                      <w:highlight w:val="none"/>
                      <w:lang w:val="en-US" w:eastAsia="zh-CN"/>
                    </w:rPr>
                    <w:t>22</w:t>
                  </w:r>
                </w:p>
              </w:tc>
              <w:tc>
                <w:tcPr>
                  <w:tcW w:w="863" w:type="dxa"/>
                  <w:shd w:val="clear" w:color="auto" w:fill="auto"/>
                  <w:vAlign w:val="center"/>
                </w:tcPr>
                <w:p w14:paraId="76F4510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氧气</w:t>
                  </w:r>
                </w:p>
              </w:tc>
              <w:tc>
                <w:tcPr>
                  <w:tcW w:w="747" w:type="dxa"/>
                  <w:shd w:val="clear" w:color="auto" w:fill="auto"/>
                  <w:vAlign w:val="center"/>
                </w:tcPr>
                <w:p w14:paraId="1CC51D5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5</w:t>
                  </w:r>
                </w:p>
              </w:tc>
              <w:tc>
                <w:tcPr>
                  <w:tcW w:w="751" w:type="dxa"/>
                  <w:shd w:val="clear" w:color="auto" w:fill="auto"/>
                  <w:vAlign w:val="center"/>
                </w:tcPr>
                <w:p w14:paraId="70B1682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w:t>
                  </w:r>
                </w:p>
              </w:tc>
              <w:tc>
                <w:tcPr>
                  <w:tcW w:w="853" w:type="dxa"/>
                  <w:shd w:val="clear" w:color="auto" w:fill="auto"/>
                  <w:vAlign w:val="center"/>
                </w:tcPr>
                <w:p w14:paraId="55C0B89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2</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L</w:t>
                  </w:r>
                </w:p>
              </w:tc>
              <w:tc>
                <w:tcPr>
                  <w:tcW w:w="982" w:type="dxa"/>
                  <w:vMerge w:val="continue"/>
                  <w:shd w:val="clear" w:color="auto" w:fill="auto"/>
                  <w:vAlign w:val="center"/>
                </w:tcPr>
                <w:p w14:paraId="17EA42CD">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813" w:type="dxa"/>
                  <w:shd w:val="clear" w:color="auto" w:fill="auto"/>
                  <w:vAlign w:val="center"/>
                </w:tcPr>
                <w:p w14:paraId="20DB4EF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eastAsiaTheme="minorEastAsia"/>
                      <w:b w:val="0"/>
                      <w:bCs w:val="0"/>
                      <w:i w:val="0"/>
                      <w:iCs w:val="0"/>
                      <w:color w:val="auto"/>
                      <w:kern w:val="0"/>
                      <w:sz w:val="21"/>
                      <w:szCs w:val="21"/>
                      <w:highlight w:val="none"/>
                      <w:u w:val="none"/>
                      <w:lang w:val="en-US" w:eastAsia="zh-CN" w:bidi="ar"/>
                    </w:rPr>
                    <w:t>罐装</w:t>
                  </w:r>
                </w:p>
              </w:tc>
              <w:tc>
                <w:tcPr>
                  <w:tcW w:w="813" w:type="dxa"/>
                  <w:shd w:val="clear" w:color="auto" w:fill="auto"/>
                  <w:vAlign w:val="center"/>
                </w:tcPr>
                <w:p w14:paraId="4BD98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外购</w:t>
                  </w:r>
                </w:p>
              </w:tc>
              <w:tc>
                <w:tcPr>
                  <w:tcW w:w="692" w:type="dxa"/>
                  <w:shd w:val="clear" w:color="auto" w:fill="auto"/>
                  <w:vAlign w:val="center"/>
                </w:tcPr>
                <w:p w14:paraId="2F264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气态</w:t>
                  </w:r>
                </w:p>
              </w:tc>
              <w:tc>
                <w:tcPr>
                  <w:tcW w:w="822" w:type="dxa"/>
                  <w:shd w:val="clear" w:color="auto" w:fill="auto"/>
                  <w:vAlign w:val="center"/>
                </w:tcPr>
                <w:p w14:paraId="00AFAD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1EE0F3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99" w:type="dxa"/>
                  <w:vMerge w:val="restart"/>
                  <w:shd w:val="clear" w:color="auto" w:fill="auto"/>
                  <w:vAlign w:val="center"/>
                </w:tcPr>
                <w:p w14:paraId="7ABFE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r>
                    <w:rPr>
                      <w:rStyle w:val="96"/>
                      <w:rFonts w:hint="eastAsia" w:cs="Times New Roman"/>
                      <w:color w:val="auto"/>
                      <w:sz w:val="21"/>
                      <w:szCs w:val="21"/>
                      <w:highlight w:val="none"/>
                      <w:lang w:val="en-US" w:eastAsia="zh-CN"/>
                    </w:rPr>
                    <w:t>能源消耗</w:t>
                  </w:r>
                </w:p>
              </w:tc>
              <w:tc>
                <w:tcPr>
                  <w:tcW w:w="423" w:type="dxa"/>
                  <w:shd w:val="clear" w:color="auto" w:fill="auto"/>
                  <w:vAlign w:val="center"/>
                </w:tcPr>
                <w:p w14:paraId="7B3A4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r>
                    <w:rPr>
                      <w:rStyle w:val="96"/>
                      <w:rFonts w:hint="eastAsia" w:cs="Times New Roman"/>
                      <w:color w:val="auto"/>
                      <w:sz w:val="21"/>
                      <w:szCs w:val="21"/>
                      <w:highlight w:val="none"/>
                      <w:lang w:val="en-US" w:eastAsia="zh-CN"/>
                    </w:rPr>
                    <w:t>1</w:t>
                  </w:r>
                </w:p>
              </w:tc>
              <w:tc>
                <w:tcPr>
                  <w:tcW w:w="863" w:type="dxa"/>
                  <w:shd w:val="clear" w:color="auto" w:fill="auto"/>
                  <w:vAlign w:val="center"/>
                </w:tcPr>
                <w:p w14:paraId="36373348">
                  <w:pPr>
                    <w:pStyle w:val="108"/>
                    <w:keepNext w:val="0"/>
                    <w:keepLines w:val="0"/>
                    <w:suppressLineNumbers w:val="0"/>
                    <w:shd w:val="clear" w:color="auto" w:fill="auto"/>
                    <w:bidi w:val="0"/>
                    <w:spacing w:before="0" w:beforeAutospacing="0" w:after="0" w:afterAutospacing="0"/>
                    <w:ind w:left="0" w:right="0" w:firstLine="0" w:firstLineChars="0"/>
                    <w:jc w:val="cente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z w:val="21"/>
                      <w:szCs w:val="21"/>
                      <w:highlight w:val="none"/>
                    </w:rPr>
                    <w:t>电</w:t>
                  </w:r>
                </w:p>
              </w:tc>
              <w:tc>
                <w:tcPr>
                  <w:tcW w:w="747" w:type="dxa"/>
                  <w:shd w:val="clear" w:color="auto" w:fill="auto"/>
                  <w:vAlign w:val="center"/>
                </w:tcPr>
                <w:p w14:paraId="16F6E97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2050</w:t>
                  </w:r>
                </w:p>
              </w:tc>
              <w:tc>
                <w:tcPr>
                  <w:tcW w:w="751" w:type="dxa"/>
                  <w:shd w:val="clear" w:color="auto" w:fill="auto"/>
                  <w:vAlign w:val="center"/>
                </w:tcPr>
                <w:p w14:paraId="33A18151">
                  <w:pPr>
                    <w:pStyle w:val="108"/>
                    <w:keepNext w:val="0"/>
                    <w:keepLines w:val="0"/>
                    <w:pageBreakBefore w:val="0"/>
                    <w:widowControl/>
                    <w:suppressLineNumbers w:val="0"/>
                    <w:shd w:val="clear" w:color="auto" w:fill="auto"/>
                    <w:kinsoku/>
                    <w:wordWrap w:val="0"/>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b w:val="0"/>
                      <w:bCs/>
                      <w:color w:val="auto"/>
                      <w:sz w:val="21"/>
                      <w:szCs w:val="21"/>
                      <w:highlight w:val="none"/>
                      <w:lang w:val="en-US" w:eastAsia="zh-CN"/>
                    </w:rPr>
                    <w:t>万</w:t>
                  </w:r>
                  <w:r>
                    <w:rPr>
                      <w:rFonts w:hint="default" w:ascii="Times New Roman" w:hAnsi="Times New Roman" w:eastAsia="宋体" w:cs="Times New Roman"/>
                      <w:b w:val="0"/>
                      <w:bCs/>
                      <w:color w:val="auto"/>
                      <w:sz w:val="21"/>
                      <w:szCs w:val="21"/>
                      <w:highlight w:val="none"/>
                    </w:rPr>
                    <w:t>Kw.h/a</w:t>
                  </w:r>
                </w:p>
              </w:tc>
              <w:tc>
                <w:tcPr>
                  <w:tcW w:w="853" w:type="dxa"/>
                  <w:shd w:val="clear" w:color="auto" w:fill="auto"/>
                  <w:vAlign w:val="center"/>
                </w:tcPr>
                <w:p w14:paraId="4B7DA7E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w:t>
                  </w:r>
                </w:p>
              </w:tc>
              <w:tc>
                <w:tcPr>
                  <w:tcW w:w="982" w:type="dxa"/>
                  <w:shd w:val="clear" w:color="auto" w:fill="auto"/>
                  <w:vAlign w:val="center"/>
                </w:tcPr>
                <w:p w14:paraId="2B79002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13" w:type="dxa"/>
                  <w:shd w:val="clear" w:color="auto" w:fill="auto"/>
                  <w:vAlign w:val="center"/>
                </w:tcPr>
                <w:p w14:paraId="60694964">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13" w:type="dxa"/>
                  <w:shd w:val="clear" w:color="auto" w:fill="auto"/>
                  <w:vAlign w:val="center"/>
                </w:tcPr>
                <w:p w14:paraId="5A842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市政供</w:t>
                  </w:r>
                  <w:r>
                    <w:rPr>
                      <w:rFonts w:hint="eastAsia" w:cs="Times New Roman"/>
                      <w:color w:val="auto"/>
                      <w:sz w:val="21"/>
                      <w:szCs w:val="21"/>
                      <w:highlight w:val="none"/>
                      <w:lang w:val="en-US" w:eastAsia="zh-CN"/>
                    </w:rPr>
                    <w:t>电</w:t>
                  </w:r>
                </w:p>
              </w:tc>
              <w:tc>
                <w:tcPr>
                  <w:tcW w:w="692" w:type="dxa"/>
                  <w:shd w:val="clear" w:color="auto" w:fill="auto"/>
                  <w:vAlign w:val="center"/>
                </w:tcPr>
                <w:p w14:paraId="173023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22" w:type="dxa"/>
                  <w:shd w:val="clear" w:color="auto" w:fill="auto"/>
                  <w:vAlign w:val="center"/>
                </w:tcPr>
                <w:p w14:paraId="61301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6428C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599" w:type="dxa"/>
                  <w:vMerge w:val="continue"/>
                  <w:shd w:val="clear" w:color="auto" w:fill="auto"/>
                  <w:vAlign w:val="center"/>
                </w:tcPr>
                <w:p w14:paraId="281A9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eastAsia" w:ascii="Times New Roman" w:hAnsi="Times New Roman" w:eastAsia="宋体" w:cs="Times New Roman"/>
                      <w:color w:val="auto"/>
                      <w:sz w:val="21"/>
                      <w:szCs w:val="21"/>
                      <w:highlight w:val="none"/>
                      <w:lang w:val="en-US" w:eastAsia="zh-CN"/>
                    </w:rPr>
                  </w:pPr>
                </w:p>
              </w:tc>
              <w:tc>
                <w:tcPr>
                  <w:tcW w:w="423" w:type="dxa"/>
                  <w:shd w:val="clear" w:color="auto" w:fill="auto"/>
                  <w:vAlign w:val="center"/>
                </w:tcPr>
                <w:p w14:paraId="47232C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96"/>
                      <w:rFonts w:hint="default" w:ascii="Times New Roman" w:hAnsi="Times New Roman" w:eastAsia="宋体" w:cs="Times New Roman"/>
                      <w:color w:val="auto"/>
                      <w:sz w:val="21"/>
                      <w:szCs w:val="21"/>
                      <w:highlight w:val="none"/>
                      <w:lang w:val="en-US" w:eastAsia="zh-CN"/>
                    </w:rPr>
                  </w:pPr>
                  <w:r>
                    <w:rPr>
                      <w:rStyle w:val="96"/>
                      <w:rFonts w:hint="eastAsia" w:cs="Times New Roman"/>
                      <w:color w:val="auto"/>
                      <w:sz w:val="21"/>
                      <w:szCs w:val="21"/>
                      <w:highlight w:val="none"/>
                      <w:lang w:val="en-US" w:eastAsia="zh-CN"/>
                    </w:rPr>
                    <w:t>2</w:t>
                  </w:r>
                </w:p>
              </w:tc>
              <w:tc>
                <w:tcPr>
                  <w:tcW w:w="863" w:type="dxa"/>
                  <w:shd w:val="clear" w:color="auto" w:fill="auto"/>
                  <w:vAlign w:val="center"/>
                </w:tcPr>
                <w:p w14:paraId="65444126">
                  <w:pPr>
                    <w:pStyle w:val="108"/>
                    <w:keepNext w:val="0"/>
                    <w:keepLines w:val="0"/>
                    <w:suppressLineNumbers w:val="0"/>
                    <w:shd w:val="clear" w:color="auto" w:fill="auto"/>
                    <w:bidi w:val="0"/>
                    <w:spacing w:before="0" w:beforeAutospacing="0" w:after="0" w:afterAutospacing="0"/>
                    <w:ind w:left="0" w:right="0" w:firstLine="0" w:firstLineChars="0"/>
                    <w:jc w:val="cente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z w:val="21"/>
                      <w:szCs w:val="21"/>
                      <w:highlight w:val="none"/>
                    </w:rPr>
                    <w:t>水</w:t>
                  </w:r>
                </w:p>
              </w:tc>
              <w:tc>
                <w:tcPr>
                  <w:tcW w:w="747" w:type="dxa"/>
                  <w:shd w:val="clear" w:color="auto" w:fill="auto"/>
                  <w:vAlign w:val="center"/>
                </w:tcPr>
                <w:p w14:paraId="4ACAB6E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3669</w:t>
                  </w:r>
                </w:p>
              </w:tc>
              <w:tc>
                <w:tcPr>
                  <w:tcW w:w="751" w:type="dxa"/>
                  <w:shd w:val="clear" w:color="auto" w:fill="auto"/>
                  <w:vAlign w:val="center"/>
                </w:tcPr>
                <w:p w14:paraId="0E776FCC">
                  <w:pPr>
                    <w:pStyle w:val="108"/>
                    <w:keepNext w:val="0"/>
                    <w:keepLines w:val="0"/>
                    <w:suppressLineNumbers w:val="0"/>
                    <w:shd w:val="clear" w:color="auto" w:fill="auto"/>
                    <w:bidi w:val="0"/>
                    <w:spacing w:before="0" w:beforeAutospacing="0" w:after="0" w:afterAutospacing="0"/>
                    <w:ind w:left="0" w:right="0" w:firstLine="0" w:firstLineChars="0"/>
                    <w:jc w:val="cente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z w:val="21"/>
                      <w:szCs w:val="21"/>
                      <w:highlight w:val="none"/>
                    </w:rPr>
                    <w:t>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/a</w:t>
                  </w:r>
                </w:p>
              </w:tc>
              <w:tc>
                <w:tcPr>
                  <w:tcW w:w="853" w:type="dxa"/>
                  <w:shd w:val="clear" w:color="auto" w:fill="auto"/>
                  <w:vAlign w:val="center"/>
                </w:tcPr>
                <w:p w14:paraId="7917294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pPr>
                  <w:r>
                    <w:rPr>
                      <w:rFonts w:hint="eastAsia" w:cs="Times New Roman" w:eastAsiaTheme="minorEastAsia"/>
                      <w:b w:val="0"/>
                      <w:bCs w:val="0"/>
                      <w:i w:val="0"/>
                      <w:iCs w:val="0"/>
                      <w:color w:val="auto"/>
                      <w:kern w:val="0"/>
                      <w:sz w:val="21"/>
                      <w:szCs w:val="21"/>
                      <w:highlight w:val="none"/>
                      <w:u w:val="none"/>
                      <w:lang w:val="en-US" w:eastAsia="zh-CN" w:bidi="ar"/>
                    </w:rPr>
                    <w:t>/</w:t>
                  </w:r>
                </w:p>
              </w:tc>
              <w:tc>
                <w:tcPr>
                  <w:tcW w:w="982" w:type="dxa"/>
                  <w:shd w:val="clear" w:color="auto" w:fill="auto"/>
                  <w:vAlign w:val="center"/>
                </w:tcPr>
                <w:p w14:paraId="5D231DA2">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13" w:type="dxa"/>
                  <w:shd w:val="clear" w:color="auto" w:fill="auto"/>
                  <w:vAlign w:val="center"/>
                </w:tcPr>
                <w:p w14:paraId="42E71CA9">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13" w:type="dxa"/>
                  <w:shd w:val="clear" w:color="auto" w:fill="auto"/>
                  <w:vAlign w:val="center"/>
                </w:tcPr>
                <w:p w14:paraId="67907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市政供水</w:t>
                  </w:r>
                </w:p>
              </w:tc>
              <w:tc>
                <w:tcPr>
                  <w:tcW w:w="692" w:type="dxa"/>
                  <w:shd w:val="clear" w:color="auto" w:fill="auto"/>
                  <w:vAlign w:val="center"/>
                </w:tcPr>
                <w:p w14:paraId="40D26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22" w:type="dxa"/>
                  <w:shd w:val="clear" w:color="auto" w:fill="auto"/>
                  <w:vAlign w:val="center"/>
                </w:tcPr>
                <w:p w14:paraId="29687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4D51B0FA">
            <w:pPr>
              <w:keepNext w:val="0"/>
              <w:keepLines w:val="0"/>
              <w:suppressLineNumbers w:val="0"/>
              <w:spacing w:before="0" w:beforeAutospacing="0" w:after="0" w:afterAutospacing="0" w:line="500" w:lineRule="exact"/>
              <w:ind w:left="0" w:right="0" w:firstLine="2741" w:firstLineChars="130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1"/>
                <w:szCs w:val="21"/>
                <w:highlight w:val="none"/>
              </w:rPr>
              <w:t>表2-</w:t>
            </w:r>
            <w:r>
              <w:rPr>
                <w:rFonts w:hint="default" w:ascii="Times New Roman" w:hAnsi="Times New Roman" w:eastAsia="宋体"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原辅材料</w:t>
            </w:r>
            <w:r>
              <w:rPr>
                <w:rFonts w:hint="default" w:ascii="Times New Roman" w:hAnsi="Times New Roman" w:eastAsia="宋体" w:cs="Times New Roman"/>
                <w:b/>
                <w:color w:val="auto"/>
                <w:sz w:val="21"/>
                <w:szCs w:val="21"/>
                <w:highlight w:val="none"/>
                <w:lang w:val="en-US" w:eastAsia="zh-CN"/>
              </w:rPr>
              <w:t>理化性质</w:t>
            </w:r>
            <w:r>
              <w:rPr>
                <w:rFonts w:hint="default" w:ascii="Times New Roman" w:hAnsi="Times New Roman" w:eastAsia="宋体" w:cs="Times New Roman"/>
                <w:b/>
                <w:color w:val="auto"/>
                <w:sz w:val="21"/>
                <w:szCs w:val="21"/>
                <w:highlight w:val="none"/>
              </w:rPr>
              <w:t>表</w:t>
            </w:r>
          </w:p>
          <w:tbl>
            <w:tblPr>
              <w:tblStyle w:val="28"/>
              <w:tblW w:w="49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7120"/>
            </w:tblGrid>
            <w:tr w14:paraId="07135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4" w:type="dxa"/>
                  <w:tcBorders>
                    <w:tl2br w:val="nil"/>
                    <w:tr2bl w:val="nil"/>
                  </w:tcBorders>
                  <w:vAlign w:val="center"/>
                </w:tcPr>
                <w:p w14:paraId="4B91E3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bookmarkStart w:id="2" w:name="_Hlk522802226"/>
                  <w:r>
                    <w:rPr>
                      <w:rFonts w:hint="default" w:ascii="Times New Roman" w:hAnsi="Times New Roman" w:eastAsia="宋体" w:cs="Times New Roman"/>
                      <w:b/>
                      <w:bCs/>
                      <w:color w:val="auto"/>
                      <w:sz w:val="21"/>
                      <w:szCs w:val="21"/>
                      <w:highlight w:val="none"/>
                    </w:rPr>
                    <w:t>名称</w:t>
                  </w:r>
                </w:p>
              </w:tc>
              <w:tc>
                <w:tcPr>
                  <w:tcW w:w="7043" w:type="dxa"/>
                  <w:tcBorders>
                    <w:tl2br w:val="nil"/>
                    <w:tr2bl w:val="nil"/>
                  </w:tcBorders>
                  <w:vAlign w:val="center"/>
                </w:tcPr>
                <w:p w14:paraId="5C2AF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理化性质</w:t>
                  </w:r>
                </w:p>
              </w:tc>
            </w:tr>
            <w:tr w14:paraId="5462A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4" w:type="dxa"/>
                  <w:tcBorders>
                    <w:tl2br w:val="nil"/>
                    <w:tr2bl w:val="nil"/>
                  </w:tcBorders>
                  <w:shd w:val="clear" w:color="auto" w:fill="auto"/>
                  <w:vAlign w:val="center"/>
                </w:tcPr>
                <w:p w14:paraId="2D3BCC2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乙醚</w:t>
                  </w:r>
                </w:p>
              </w:tc>
              <w:tc>
                <w:tcPr>
                  <w:tcW w:w="7043" w:type="dxa"/>
                  <w:tcBorders>
                    <w:tl2br w:val="nil"/>
                    <w:tr2bl w:val="nil"/>
                  </w:tcBorders>
                  <w:shd w:val="clear" w:color="auto" w:fill="auto"/>
                  <w:vAlign w:val="top"/>
                </w:tcPr>
                <w:p w14:paraId="16711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CAS号：</w:t>
                  </w: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9-</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分子式为</w:t>
                  </w:r>
                  <w:r>
                    <w:rPr>
                      <w:rFonts w:hint="default" w:ascii="Times New Roman" w:hAnsi="Times New Roman" w:eastAsia="宋体" w:cs="Times New Roman"/>
                      <w:i w:val="0"/>
                      <w:iCs w:val="0"/>
                      <w:caps w:val="0"/>
                      <w:color w:val="auto"/>
                      <w:spacing w:val="0"/>
                      <w:sz w:val="21"/>
                      <w:szCs w:val="21"/>
                      <w:highlight w:val="none"/>
                      <w:shd w:val="clear" w:fill="FFFFFF"/>
                    </w:rPr>
                    <w:t>C</w:t>
                  </w:r>
                  <w:r>
                    <w:rPr>
                      <w:rFonts w:hint="default" w:ascii="Times New Roman" w:hAnsi="Times New Roman" w:eastAsia="宋体" w:cs="Times New Roman"/>
                      <w:i w:val="0"/>
                      <w:iCs w:val="0"/>
                      <w:caps w:val="0"/>
                      <w:color w:val="auto"/>
                      <w:spacing w:val="0"/>
                      <w:sz w:val="21"/>
                      <w:szCs w:val="21"/>
                      <w:highlight w:val="none"/>
                      <w:shd w:val="clear" w:fill="FFFFFF"/>
                      <w:vertAlign w:val="subscript"/>
                    </w:rPr>
                    <w:t>4</w:t>
                  </w:r>
                  <w:r>
                    <w:rPr>
                      <w:rFonts w:hint="default" w:ascii="Times New Roman" w:hAnsi="Times New Roman" w:eastAsia="宋体" w:cs="Times New Roman"/>
                      <w:i w:val="0"/>
                      <w:iCs w:val="0"/>
                      <w:caps w:val="0"/>
                      <w:color w:val="auto"/>
                      <w:spacing w:val="0"/>
                      <w:sz w:val="21"/>
                      <w:szCs w:val="21"/>
                      <w:highlight w:val="none"/>
                      <w:shd w:val="clear" w:fill="FFFFFF"/>
                    </w:rPr>
                    <w:t>H</w:t>
                  </w:r>
                  <w:r>
                    <w:rPr>
                      <w:rFonts w:hint="default" w:ascii="Times New Roman" w:hAnsi="Times New Roman" w:eastAsia="宋体" w:cs="Times New Roman"/>
                      <w:i w:val="0"/>
                      <w:iCs w:val="0"/>
                      <w:caps w:val="0"/>
                      <w:color w:val="auto"/>
                      <w:spacing w:val="0"/>
                      <w:sz w:val="21"/>
                      <w:szCs w:val="21"/>
                      <w:highlight w:val="none"/>
                      <w:shd w:val="clear" w:fill="FFFFFF"/>
                      <w:vertAlign w:val="subscript"/>
                    </w:rPr>
                    <w:t>10</w:t>
                  </w:r>
                  <w:r>
                    <w:rPr>
                      <w:rFonts w:hint="default" w:ascii="Times New Roman" w:hAnsi="Times New Roman" w:eastAsia="宋体" w:cs="Times New Roman"/>
                      <w:i w:val="0"/>
                      <w:iCs w:val="0"/>
                      <w:caps w:val="0"/>
                      <w:color w:val="auto"/>
                      <w:spacing w:val="0"/>
                      <w:sz w:val="21"/>
                      <w:szCs w:val="21"/>
                      <w:highlight w:val="none"/>
                      <w:shd w:val="clear" w:fill="FFFFFF"/>
                    </w:rPr>
                    <w:t>O</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是一种无色、有甜味（“飘逸气味”）、极易燃的液体</w:t>
                  </w:r>
                  <w:r>
                    <w:rPr>
                      <w:rFonts w:hint="default" w:ascii="Times New Roman" w:hAnsi="Times New Roman" w:eastAsia="宋体" w:cs="Times New Roman"/>
                      <w:color w:val="auto"/>
                      <w:sz w:val="21"/>
                      <w:szCs w:val="21"/>
                      <w:highlight w:val="none"/>
                    </w:rPr>
                    <w:t>。熔点-</w:t>
                  </w:r>
                  <w:r>
                    <w:rPr>
                      <w:rFonts w:hint="default" w:ascii="Times New Roman" w:hAnsi="Times New Roman" w:eastAsia="宋体" w:cs="Times New Roman"/>
                      <w:color w:val="auto"/>
                      <w:sz w:val="21"/>
                      <w:szCs w:val="21"/>
                      <w:highlight w:val="none"/>
                      <w:lang w:val="en-US" w:eastAsia="zh-CN"/>
                    </w:rPr>
                    <w:t>116.2</w:t>
                  </w:r>
                  <w:r>
                    <w:rPr>
                      <w:rFonts w:hint="default" w:ascii="Times New Roman" w:hAnsi="Times New Roman" w:eastAsia="宋体" w:cs="Times New Roman"/>
                      <w:color w:val="auto"/>
                      <w:sz w:val="21"/>
                      <w:szCs w:val="21"/>
                      <w:highlight w:val="none"/>
                    </w:rPr>
                    <w:t>℃，沸点</w:t>
                  </w:r>
                  <w:r>
                    <w:rPr>
                      <w:rFonts w:hint="default" w:ascii="Times New Roman" w:hAnsi="Times New Roman" w:eastAsia="宋体" w:cs="Times New Roman"/>
                      <w:color w:val="auto"/>
                      <w:sz w:val="21"/>
                      <w:szCs w:val="21"/>
                      <w:highlight w:val="none"/>
                      <w:lang w:val="en-US" w:eastAsia="zh-CN"/>
                    </w:rPr>
                    <w:t>34.5</w:t>
                  </w:r>
                  <w:r>
                    <w:rPr>
                      <w:rFonts w:hint="default" w:ascii="Times New Roman" w:hAnsi="Times New Roman" w:eastAsia="宋体" w:cs="Times New Roman"/>
                      <w:color w:val="auto"/>
                      <w:sz w:val="21"/>
                      <w:szCs w:val="21"/>
                      <w:highlight w:val="none"/>
                    </w:rPr>
                    <w:t>℃，闪点</w:t>
                  </w: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℃，密度</w:t>
                  </w:r>
                  <w:r>
                    <w:rPr>
                      <w:rFonts w:hint="default" w:ascii="Times New Roman" w:hAnsi="Times New Roman" w:eastAsia="宋体" w:cs="Times New Roman"/>
                      <w:color w:val="auto"/>
                      <w:sz w:val="21"/>
                      <w:szCs w:val="21"/>
                      <w:highlight w:val="none"/>
                      <w:lang w:val="en-US" w:eastAsia="zh-CN"/>
                    </w:rPr>
                    <w:t>0.714</w:t>
                  </w:r>
                  <w:r>
                    <w:rPr>
                      <w:rFonts w:hint="default" w:ascii="Times New Roman" w:hAnsi="Times New Roman" w:eastAsia="宋体" w:cs="Times New Roman"/>
                      <w:color w:val="auto"/>
                      <w:sz w:val="21"/>
                      <w:szCs w:val="21"/>
                      <w:highlight w:val="none"/>
                    </w:rPr>
                    <w:t>g/cm³。微溶于水，溶于乙醇、苯、氯仿、溶剂石脑油等多数有机溶剂</w:t>
                  </w:r>
                  <w:r>
                    <w:rPr>
                      <w:rFonts w:hint="default" w:ascii="Times New Roman" w:hAnsi="Times New Roman" w:eastAsia="宋体" w:cs="Times New Roman"/>
                      <w:color w:val="auto"/>
                      <w:sz w:val="21"/>
                      <w:szCs w:val="21"/>
                      <w:highlight w:val="none"/>
                      <w:lang w:eastAsia="zh-CN"/>
                    </w:rPr>
                    <w:t>。</w:t>
                  </w:r>
                </w:p>
              </w:tc>
            </w:tr>
            <w:tr w14:paraId="497E9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4" w:type="dxa"/>
                  <w:tcBorders>
                    <w:tl2br w:val="nil"/>
                    <w:tr2bl w:val="nil"/>
                  </w:tcBorders>
                  <w:shd w:val="clear" w:color="auto" w:fill="auto"/>
                  <w:vAlign w:val="center"/>
                </w:tcPr>
                <w:p w14:paraId="42E7E2B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无水乙醇</w:t>
                  </w:r>
                </w:p>
              </w:tc>
              <w:tc>
                <w:tcPr>
                  <w:tcW w:w="7043" w:type="dxa"/>
                  <w:tcBorders>
                    <w:tl2br w:val="nil"/>
                    <w:tr2bl w:val="nil"/>
                  </w:tcBorders>
                  <w:vAlign w:val="center"/>
                </w:tcPr>
                <w:p w14:paraId="16278A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CAS号：64-17-5；分子式为C</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6</w:t>
                  </w:r>
                  <w:r>
                    <w:rPr>
                      <w:rFonts w:hint="default" w:ascii="Times New Roman" w:hAnsi="Times New Roman" w:eastAsia="宋体" w:cs="Times New Roman"/>
                      <w:color w:val="auto"/>
                      <w:sz w:val="21"/>
                      <w:szCs w:val="21"/>
                      <w:highlight w:val="none"/>
                    </w:rPr>
                    <w:t>O，相对分子量为46.07，熔点为-114.1℃，沸点为78.3℃</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密度</w:t>
                  </w:r>
                  <w:r>
                    <w:rPr>
                      <w:rFonts w:hint="default" w:ascii="Times New Roman" w:hAnsi="Times New Roman" w:eastAsia="宋体" w:cs="Times New Roman"/>
                      <w:color w:val="auto"/>
                      <w:sz w:val="21"/>
                      <w:szCs w:val="21"/>
                      <w:highlight w:val="none"/>
                      <w:lang w:val="en-US" w:eastAsia="zh-CN"/>
                    </w:rPr>
                    <w:t>0.7</w:t>
                  </w:r>
                  <w:r>
                    <w:rPr>
                      <w:rFonts w:hint="eastAsia" w:cs="Times New Roman"/>
                      <w:color w:val="auto"/>
                      <w:sz w:val="21"/>
                      <w:szCs w:val="21"/>
                      <w:highlight w:val="none"/>
                      <w:lang w:val="en-US" w:eastAsia="zh-CN"/>
                    </w:rPr>
                    <w:t>89</w:t>
                  </w:r>
                  <w:r>
                    <w:rPr>
                      <w:rFonts w:hint="default" w:ascii="Times New Roman" w:hAnsi="Times New Roman" w:eastAsia="宋体" w:cs="Times New Roman"/>
                      <w:color w:val="auto"/>
                      <w:sz w:val="21"/>
                      <w:szCs w:val="21"/>
                      <w:highlight w:val="none"/>
                    </w:rPr>
                    <w:t>g/cm³；为无色液体，有酒香；与水混溶，可混溶于醚、氯仿、甘油等多数有机溶剂；稳定性较好；用于制酒工业、有机合成、消毒以用作溶剂。LD</w:t>
                  </w:r>
                  <w:r>
                    <w:rPr>
                      <w:rFonts w:hint="default" w:ascii="Times New Roman" w:hAnsi="Times New Roman" w:eastAsia="宋体" w:cs="Times New Roman"/>
                      <w:color w:val="auto"/>
                      <w:kern w:val="2"/>
                      <w:sz w:val="21"/>
                      <w:szCs w:val="21"/>
                      <w:highlight w:val="none"/>
                      <w:shd w:val="clear" w:color="auto" w:fill="FFFFFF"/>
                      <w:vertAlign w:val="subscript"/>
                    </w:rPr>
                    <w:t>50</w:t>
                  </w:r>
                  <w:r>
                    <w:rPr>
                      <w:rFonts w:hint="default" w:ascii="Times New Roman" w:hAnsi="Times New Roman" w:eastAsia="宋体" w:cs="Times New Roman"/>
                      <w:color w:val="auto"/>
                      <w:sz w:val="21"/>
                      <w:szCs w:val="21"/>
                      <w:highlight w:val="none"/>
                    </w:rPr>
                    <w:t>：7060mg/kg（大鼠经口）LC</w:t>
                  </w:r>
                  <w:r>
                    <w:rPr>
                      <w:rFonts w:hint="default" w:ascii="Times New Roman" w:hAnsi="Times New Roman" w:eastAsia="宋体" w:cs="Times New Roman"/>
                      <w:color w:val="auto"/>
                      <w:kern w:val="2"/>
                      <w:sz w:val="21"/>
                      <w:szCs w:val="21"/>
                      <w:highlight w:val="none"/>
                      <w:shd w:val="clear" w:color="auto" w:fill="FFFFFF"/>
                      <w:vertAlign w:val="subscript"/>
                    </w:rPr>
                    <w:t>50</w:t>
                  </w:r>
                  <w:r>
                    <w:rPr>
                      <w:rFonts w:hint="default" w:ascii="Times New Roman" w:hAnsi="Times New Roman" w:eastAsia="宋体" w:cs="Times New Roman"/>
                      <w:color w:val="auto"/>
                      <w:sz w:val="21"/>
                      <w:szCs w:val="21"/>
                      <w:highlight w:val="none"/>
                    </w:rPr>
                    <w:t>：37620mg/m³，10小时(大鼠吸入)。</w:t>
                  </w:r>
                </w:p>
              </w:tc>
            </w:tr>
            <w:tr w14:paraId="472F4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4" w:type="dxa"/>
                  <w:tcBorders>
                    <w:tl2br w:val="nil"/>
                    <w:tr2bl w:val="nil"/>
                  </w:tcBorders>
                  <w:shd w:val="clear" w:color="auto" w:fill="auto"/>
                  <w:vAlign w:val="center"/>
                </w:tcPr>
                <w:p w14:paraId="77C5E42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盐酸</w:t>
                  </w:r>
                </w:p>
              </w:tc>
              <w:tc>
                <w:tcPr>
                  <w:tcW w:w="7043" w:type="dxa"/>
                  <w:tcBorders>
                    <w:tl2br w:val="nil"/>
                    <w:tr2bl w:val="nil"/>
                  </w:tcBorders>
                  <w:vAlign w:val="center"/>
                </w:tcPr>
                <w:p w14:paraId="6F5532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CAS号：7647-01-0；分子式为HCl，相对分子量为36.5，相对密度1.20g/cm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，熔点为-114.8℃/纯，沸点为108.6℃/20%；为无色或微黄色发烟液体，有刺鼻的酸味；与水混合，溶于碱液；稳定性较好；急性毒性：LD</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900mg/kg(兔经口)；LC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3124ppm，1小时(大鼠吸入)；重要的无机化工原料，广泛用于染料、医药、食品、印染、皮革、冶金等行业</w:t>
                  </w:r>
                  <w:r>
                    <w:rPr>
                      <w:rFonts w:hint="default" w:ascii="Times New Roman" w:hAnsi="Times New Roman" w:eastAsia="宋体" w:cs="Times New Roman"/>
                      <w:color w:val="auto"/>
                      <w:sz w:val="21"/>
                      <w:szCs w:val="21"/>
                      <w:highlight w:val="none"/>
                      <w:lang w:eastAsia="zh-CN"/>
                    </w:rPr>
                    <w:t>。</w:t>
                  </w:r>
                </w:p>
              </w:tc>
            </w:tr>
            <w:tr w14:paraId="146FC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4" w:type="dxa"/>
                  <w:tcBorders>
                    <w:tl2br w:val="nil"/>
                    <w:tr2bl w:val="nil"/>
                  </w:tcBorders>
                  <w:shd w:val="clear" w:color="auto" w:fill="auto"/>
                  <w:vAlign w:val="center"/>
                </w:tcPr>
                <w:p w14:paraId="13127E7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硫酸</w:t>
                  </w:r>
                </w:p>
              </w:tc>
              <w:tc>
                <w:tcPr>
                  <w:tcW w:w="7043" w:type="dxa"/>
                  <w:tcBorders>
                    <w:tl2br w:val="nil"/>
                    <w:tr2bl w:val="nil"/>
                  </w:tcBorders>
                  <w:vAlign w:val="center"/>
                </w:tcPr>
                <w:p w14:paraId="20442C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CAS号：7664-93-9；分子式为H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rPr>
                    <w:t>，相对分子量为98.08，相对密度1.84g/cm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熔点为10.5℃，沸点为330℃；为无色透明油状液体，无臭；与水混溶；稳定性较好；用于生产化学肥料，在化工、医药、塑料、染料、石油提炼等工业也有广泛的应用。属中等毒性，急性毒性：LD502140mg/kg(大鼠经口)；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510mg/m³，2小时(大鼠吸入)；320mg/m³，2小时(小鼠吸入)。</w:t>
                  </w:r>
                </w:p>
              </w:tc>
            </w:tr>
            <w:tr w14:paraId="0D0F8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4" w:type="dxa"/>
                  <w:tcBorders>
                    <w:tl2br w:val="nil"/>
                    <w:tr2bl w:val="nil"/>
                  </w:tcBorders>
                  <w:shd w:val="clear" w:color="auto" w:fill="auto"/>
                  <w:vAlign w:val="center"/>
                </w:tcPr>
                <w:p w14:paraId="26C30F5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硝酸</w:t>
                  </w:r>
                </w:p>
              </w:tc>
              <w:tc>
                <w:tcPr>
                  <w:tcW w:w="7043" w:type="dxa"/>
                  <w:tcBorders>
                    <w:tl2br w:val="nil"/>
                    <w:tr2bl w:val="nil"/>
                  </w:tcBorders>
                  <w:shd w:val="clear" w:color="auto" w:fill="auto"/>
                  <w:vAlign w:val="center"/>
                </w:tcPr>
                <w:p w14:paraId="5485F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CAS号：7697-37-2；分子式为HNO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，相对分子量为63.01，相对密度1.</w:t>
                  </w:r>
                  <w:r>
                    <w:rPr>
                      <w:rFonts w:hint="eastAsia" w:cs="Times New Roman"/>
                      <w:color w:val="auto"/>
                      <w:sz w:val="21"/>
                      <w:szCs w:val="21"/>
                      <w:highlight w:val="none"/>
                      <w:lang w:val="en-US" w:eastAsia="zh-CN"/>
                    </w:rPr>
                    <w:t>42</w:t>
                  </w:r>
                  <w:r>
                    <w:rPr>
                      <w:rFonts w:hint="default" w:ascii="Times New Roman" w:hAnsi="Times New Roman" w:eastAsia="宋体" w:cs="Times New Roman"/>
                      <w:color w:val="auto"/>
                      <w:sz w:val="21"/>
                      <w:szCs w:val="21"/>
                      <w:highlight w:val="none"/>
                    </w:rPr>
                    <w:t>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，熔点为</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42℃，沸点为83℃；</w:t>
                  </w:r>
                  <w:r>
                    <w:rPr>
                      <w:rFonts w:hint="default" w:ascii="Times New Roman" w:hAnsi="Times New Roman" w:eastAsia="宋体" w:cs="Times New Roman"/>
                      <w:color w:val="auto"/>
                      <w:sz w:val="21"/>
                      <w:szCs w:val="21"/>
                      <w:highlight w:val="none"/>
                      <w:shd w:val="clear" w:color="auto" w:fill="FFFFFF"/>
                    </w:rPr>
                    <w:t>为无色透明液体。有窒息性刺激气味。能与水形成共沸混合物。硝酸是重要化工原料，主要用于制造硝酸铵、硝酸铵钙、硝酸磷肥、氮磷钾等复合肥料。</w:t>
                  </w:r>
                </w:p>
              </w:tc>
            </w:tr>
            <w:tr w14:paraId="5A077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4" w:type="dxa"/>
                  <w:tcBorders>
                    <w:tl2br w:val="nil"/>
                    <w:tr2bl w:val="nil"/>
                  </w:tcBorders>
                  <w:shd w:val="clear" w:color="auto" w:fill="auto"/>
                  <w:vAlign w:val="center"/>
                </w:tcPr>
                <w:p w14:paraId="21A4372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磷酸</w:t>
                  </w:r>
                </w:p>
              </w:tc>
              <w:tc>
                <w:tcPr>
                  <w:tcW w:w="7043" w:type="dxa"/>
                  <w:tcBorders>
                    <w:tl2br w:val="nil"/>
                    <w:tr2bl w:val="nil"/>
                  </w:tcBorders>
                  <w:vAlign w:val="center"/>
                </w:tcPr>
                <w:p w14:paraId="52AFB60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rPr>
                    <w:t>CAS号：</w:t>
                  </w:r>
                  <w:r>
                    <w:rPr>
                      <w:rFonts w:hint="default" w:ascii="Times New Roman" w:hAnsi="Times New Roman" w:eastAsia="宋体" w:cs="Times New Roman"/>
                      <w:color w:val="auto"/>
                      <w:sz w:val="21"/>
                      <w:szCs w:val="21"/>
                      <w:highlight w:val="none"/>
                      <w:shd w:val="clear" w:color="auto" w:fill="FFFFFF"/>
                    </w:rPr>
                    <w:t>7664-38-2，分子式：H</w:t>
                  </w:r>
                  <w:r>
                    <w:rPr>
                      <w:rFonts w:hint="default" w:ascii="Times New Roman" w:hAnsi="Times New Roman" w:eastAsia="宋体" w:cs="Times New Roman"/>
                      <w:color w:val="auto"/>
                      <w:sz w:val="21"/>
                      <w:szCs w:val="21"/>
                      <w:highlight w:val="none"/>
                      <w:shd w:val="clear" w:color="auto" w:fill="FFFFFF"/>
                      <w:vertAlign w:val="subscript"/>
                    </w:rPr>
                    <w:t>3</w:t>
                  </w:r>
                  <w:r>
                    <w:rPr>
                      <w:rFonts w:hint="default" w:ascii="Times New Roman" w:hAnsi="Times New Roman" w:eastAsia="宋体" w:cs="Times New Roman"/>
                      <w:color w:val="auto"/>
                      <w:sz w:val="21"/>
                      <w:szCs w:val="21"/>
                      <w:highlight w:val="none"/>
                      <w:shd w:val="clear" w:color="auto" w:fill="FFFFFF"/>
                    </w:rPr>
                    <w:t>PO</w:t>
                  </w:r>
                  <w:r>
                    <w:rPr>
                      <w:rFonts w:hint="default" w:ascii="Times New Roman" w:hAnsi="Times New Roman" w:eastAsia="宋体" w:cs="Times New Roman"/>
                      <w:color w:val="auto"/>
                      <w:sz w:val="21"/>
                      <w:szCs w:val="21"/>
                      <w:highlight w:val="none"/>
                      <w:shd w:val="clear" w:color="auto" w:fill="FFFFFF"/>
                      <w:vertAlign w:val="subscript"/>
                    </w:rPr>
                    <w:t>4</w:t>
                  </w:r>
                  <w:r>
                    <w:rPr>
                      <w:rFonts w:hint="default" w:ascii="Times New Roman" w:hAnsi="Times New Roman" w:eastAsia="宋体" w:cs="Times New Roman"/>
                      <w:color w:val="auto"/>
                      <w:sz w:val="21"/>
                      <w:szCs w:val="21"/>
                      <w:highlight w:val="none"/>
                      <w:shd w:val="clear" w:color="auto" w:fill="FFFFFF"/>
                    </w:rPr>
                    <w:t>，相对分子量为97.9724，密度</w:t>
                  </w:r>
                </w:p>
                <w:p w14:paraId="587D8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shd w:val="clear" w:color="auto" w:fill="FFFFFF"/>
                    </w:rPr>
                    <w:t>1.874g/mL，熔点：42℃，沸点：261℃，磷酸主要用于制药、食品、肥料等工业，也可用作化学试剂。</w:t>
                  </w:r>
                </w:p>
              </w:tc>
            </w:tr>
            <w:bookmarkEnd w:id="2"/>
            <w:tr w14:paraId="0BD93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1" w:type="dxa"/>
                  <w:shd w:val="clear" w:color="auto" w:fill="auto"/>
                  <w:vAlign w:val="center"/>
                </w:tcPr>
                <w:p w14:paraId="07C5C17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氢氟酸</w:t>
                  </w:r>
                </w:p>
              </w:tc>
              <w:tc>
                <w:tcPr>
                  <w:tcW w:w="7686" w:type="dxa"/>
                </w:tcPr>
                <w:p w14:paraId="32BBB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CAS号：</w:t>
                  </w:r>
                  <w:r>
                    <w:rPr>
                      <w:rFonts w:hint="default" w:ascii="Times New Roman" w:hAnsi="Times New Roman" w:eastAsia="宋体" w:cs="Times New Roman"/>
                      <w:color w:val="auto"/>
                      <w:sz w:val="21"/>
                      <w:szCs w:val="21"/>
                      <w:highlight w:val="none"/>
                      <w:lang w:eastAsia="zh-CN"/>
                    </w:rPr>
                    <w:t>7664-39-3；</w:t>
                  </w:r>
                  <w:r>
                    <w:rPr>
                      <w:rFonts w:hint="default" w:ascii="Times New Roman" w:hAnsi="Times New Roman" w:eastAsia="宋体" w:cs="Times New Roman"/>
                      <w:color w:val="auto"/>
                      <w:sz w:val="21"/>
                      <w:szCs w:val="21"/>
                      <w:highlight w:val="none"/>
                    </w:rPr>
                    <w:t>分子式为H</w:t>
                  </w:r>
                  <w:r>
                    <w:rPr>
                      <w:rFonts w:hint="default" w:ascii="Times New Roman" w:hAnsi="Times New Roman" w:eastAsia="宋体" w:cs="Times New Roman"/>
                      <w:color w:val="auto"/>
                      <w:sz w:val="21"/>
                      <w:szCs w:val="21"/>
                      <w:highlight w:val="none"/>
                      <w:lang w:val="en-US" w:eastAsia="zh-CN"/>
                    </w:rPr>
                    <w:t>F</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清澈，无色、发烟的腐蚀性液体，有剧烈刺激性气味。熔点-83.3℃，沸点19.54℃，闪点112.2℃，密度1.15g/cm³。易溶于水、乙醇，微溶于乙醚</w:t>
                  </w:r>
                  <w:r>
                    <w:rPr>
                      <w:rFonts w:hint="default" w:ascii="Times New Roman" w:hAnsi="Times New Roman" w:eastAsia="宋体" w:cs="Times New Roman"/>
                      <w:color w:val="auto"/>
                      <w:sz w:val="21"/>
                      <w:szCs w:val="21"/>
                      <w:highlight w:val="none"/>
                      <w:lang w:eastAsia="zh-CN"/>
                    </w:rPr>
                    <w:t>。</w:t>
                  </w:r>
                </w:p>
              </w:tc>
            </w:tr>
            <w:tr w14:paraId="4B17C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1" w:type="dxa"/>
                  <w:shd w:val="clear" w:color="auto" w:fill="auto"/>
                  <w:vAlign w:val="center"/>
                </w:tcPr>
                <w:p w14:paraId="035471F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氩气</w:t>
                  </w:r>
                </w:p>
              </w:tc>
              <w:tc>
                <w:tcPr>
                  <w:tcW w:w="7686" w:type="dxa"/>
                </w:tcPr>
                <w:p w14:paraId="66028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CAS号：</w:t>
                  </w:r>
                  <w:r>
                    <w:rPr>
                      <w:rFonts w:hint="default" w:ascii="Times New Roman" w:hAnsi="Times New Roman" w:eastAsia="宋体" w:cs="Times New Roman"/>
                      <w:color w:val="auto"/>
                      <w:sz w:val="21"/>
                      <w:szCs w:val="21"/>
                      <w:highlight w:val="none"/>
                      <w:lang w:val="en-US" w:eastAsia="zh-CN"/>
                    </w:rPr>
                    <w:t>7440-37-1，分子式为Ar，</w:t>
                  </w:r>
                  <w:r>
                    <w:rPr>
                      <w:rFonts w:hint="default" w:ascii="Times New Roman" w:hAnsi="Times New Roman" w:eastAsia="宋体" w:cs="Times New Roman"/>
                      <w:color w:val="auto"/>
                      <w:sz w:val="21"/>
                      <w:szCs w:val="21"/>
                      <w:highlight w:val="none"/>
                      <w:lang w:eastAsia="zh-CN"/>
                    </w:rPr>
                    <w:t>在标准大气压下，氩气的沸点是-185.87℃，熔点是-189.35℃。它的临界温度是-122.29℃，临界压力是49.0mPa。氩气的密度比空气大，大约是空气的1.4倍。在常温常压下，氩气是一种无色、无味的气体810。化学性质包括：氩气是一种惰性气体，由于氩原子外层轨道充满电子，它的化学性质极不活泼，既不能燃烧，也不助燃。</w:t>
                  </w:r>
                </w:p>
              </w:tc>
            </w:tr>
            <w:tr w14:paraId="4E153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1" w:type="dxa"/>
                  <w:shd w:val="clear" w:color="auto" w:fill="auto"/>
                  <w:vAlign w:val="center"/>
                </w:tcPr>
                <w:p w14:paraId="2CFDDB5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氮气</w:t>
                  </w:r>
                </w:p>
              </w:tc>
              <w:tc>
                <w:tcPr>
                  <w:tcW w:w="7686" w:type="dxa"/>
                </w:tcPr>
                <w:p w14:paraId="77B48F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CAS号：7727-37-9</w:t>
                  </w:r>
                  <w:r>
                    <w:rPr>
                      <w:rFonts w:hint="default" w:ascii="Times New Roman" w:hAnsi="Times New Roman" w:eastAsia="宋体" w:cs="Times New Roman"/>
                      <w:color w:val="auto"/>
                      <w:sz w:val="21"/>
                      <w:szCs w:val="21"/>
                      <w:highlight w:val="none"/>
                      <w:lang w:val="en-US" w:eastAsia="zh-CN"/>
                    </w:rPr>
                    <w:t>，分子式为N</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，熔点为-210℃，沸点为-195.79℃，密度为1.25046 kg/m³，微溶于水和酒精。氮气在常况下是一种无色无味的气体，占空气体积分数约78%（氧气约21%）。溶解度很小，常压下在283K时一体积水可溶解0.02体积的氮气。</w:t>
                  </w:r>
                </w:p>
              </w:tc>
            </w:tr>
            <w:tr w14:paraId="6238D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1" w:type="dxa"/>
                  <w:shd w:val="clear" w:color="auto" w:fill="auto"/>
                  <w:vAlign w:val="center"/>
                </w:tcPr>
                <w:p w14:paraId="7758269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氧气</w:t>
                  </w:r>
                </w:p>
              </w:tc>
              <w:tc>
                <w:tcPr>
                  <w:tcW w:w="7686" w:type="dxa"/>
                </w:tcPr>
                <w:p w14:paraId="6C791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CAS号：77</w:t>
                  </w:r>
                  <w:r>
                    <w:rPr>
                      <w:rFonts w:hint="default" w:ascii="Times New Roman" w:hAnsi="Times New Roman" w:eastAsia="宋体" w:cs="Times New Roman"/>
                      <w:color w:val="auto"/>
                      <w:sz w:val="21"/>
                      <w:szCs w:val="21"/>
                      <w:highlight w:val="none"/>
                      <w:lang w:val="en-US" w:eastAsia="zh-CN"/>
                    </w:rPr>
                    <w:t>82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7，分子式为O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，熔点为-218.8℃，沸点为-183.1℃，密度为1.43 kg/m³。氧气的化学性质比较活泼，除了稀有气体、活性小的金属元素如金、铂、银之外，大部分的元素都能与氧气发生氧化反应。</w:t>
                  </w:r>
                </w:p>
              </w:tc>
            </w:tr>
          </w:tbl>
          <w:p w14:paraId="4838D304">
            <w:pPr>
              <w:keepNext w:val="0"/>
              <w:keepLines w:val="0"/>
              <w:suppressLineNumbers w:val="0"/>
              <w:spacing w:before="0" w:beforeAutospacing="0" w:after="0" w:afterAutospacing="0" w:line="360" w:lineRule="auto"/>
              <w:ind w:left="0" w:right="0" w:firstLine="472" w:firstLineChars="196"/>
              <w:rPr>
                <w:rFonts w:hint="default" w:ascii="Times New Roman" w:hAnsi="Times New Roman" w:eastAsia="宋体" w:cs="Times New Roman"/>
                <w:b/>
                <w:bCs w:val="0"/>
                <w:color w:val="auto"/>
                <w:sz w:val="24"/>
                <w:szCs w:val="24"/>
                <w:highlight w:val="none"/>
              </w:rPr>
            </w:pPr>
            <w:r>
              <w:rPr>
                <w:rFonts w:hint="eastAsia" w:cs="Times New Roman"/>
                <w:b/>
                <w:bCs w:val="0"/>
                <w:color w:val="auto"/>
                <w:sz w:val="24"/>
                <w:szCs w:val="24"/>
                <w:highlight w:val="none"/>
                <w:lang w:val="en-US" w:eastAsia="zh-CN"/>
              </w:rPr>
              <w:t>8</w:t>
            </w:r>
            <w:r>
              <w:rPr>
                <w:rFonts w:hint="default"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rPr>
              <w:t>劳动定员及工作制度</w:t>
            </w:r>
          </w:p>
          <w:p w14:paraId="4073E73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color w:val="auto"/>
                <w:kern w:val="0"/>
                <w:sz w:val="24"/>
                <w:szCs w:val="24"/>
                <w:highlight w:val="none"/>
              </w:rPr>
              <w:t>本项目</w:t>
            </w:r>
            <w:r>
              <w:rPr>
                <w:rFonts w:hint="default" w:ascii="Times New Roman" w:hAnsi="Times New Roman" w:eastAsia="宋体" w:cs="Times New Roman"/>
                <w:color w:val="auto"/>
                <w:kern w:val="0"/>
                <w:sz w:val="24"/>
                <w:szCs w:val="24"/>
                <w:highlight w:val="none"/>
                <w:lang w:val="en-US" w:eastAsia="zh-CN"/>
              </w:rPr>
              <w:t>员工</w:t>
            </w:r>
            <w:r>
              <w:rPr>
                <w:rFonts w:hint="default" w:ascii="Times New Roman" w:hAnsi="Times New Roman" w:eastAsia="宋体" w:cs="Times New Roman"/>
                <w:color w:val="auto"/>
                <w:kern w:val="0"/>
                <w:sz w:val="24"/>
                <w:szCs w:val="24"/>
                <w:highlight w:val="none"/>
              </w:rPr>
              <w:t>人数</w:t>
            </w:r>
            <w:r>
              <w:rPr>
                <w:rFonts w:hint="default" w:ascii="Times New Roman" w:hAnsi="Times New Roman" w:eastAsia="宋体" w:cs="Times New Roman"/>
                <w:color w:val="auto"/>
                <w:kern w:val="0"/>
                <w:sz w:val="24"/>
                <w:szCs w:val="24"/>
                <w:highlight w:val="none"/>
                <w:lang w:val="en-US" w:eastAsia="zh-CN"/>
              </w:rPr>
              <w:t>为</w:t>
            </w:r>
            <w:r>
              <w:rPr>
                <w:rFonts w:hint="eastAsia" w:cs="Times New Roman"/>
                <w:color w:val="auto"/>
                <w:kern w:val="0"/>
                <w:sz w:val="24"/>
                <w:szCs w:val="24"/>
                <w:highlight w:val="none"/>
                <w:lang w:val="en-US" w:eastAsia="zh-CN"/>
              </w:rPr>
              <w:t>85</w:t>
            </w:r>
            <w:r>
              <w:rPr>
                <w:rFonts w:hint="default" w:ascii="Times New Roman" w:hAnsi="Times New Roman" w:eastAsia="宋体" w:cs="Times New Roman"/>
                <w:color w:val="auto"/>
                <w:kern w:val="0"/>
                <w:sz w:val="24"/>
                <w:szCs w:val="24"/>
                <w:highlight w:val="none"/>
              </w:rPr>
              <w:t>人，</w:t>
            </w:r>
            <w:r>
              <w:rPr>
                <w:rFonts w:hint="eastAsia" w:cs="Times New Roman"/>
                <w:color w:val="auto"/>
                <w:kern w:val="0"/>
                <w:sz w:val="24"/>
                <w:szCs w:val="24"/>
                <w:highlight w:val="none"/>
                <w:lang w:val="en-US" w:eastAsia="zh-CN"/>
              </w:rPr>
              <w:t>不</w:t>
            </w:r>
            <w:r>
              <w:rPr>
                <w:rFonts w:hint="default" w:ascii="Times New Roman" w:hAnsi="Times New Roman" w:eastAsia="宋体" w:cs="Times New Roman"/>
                <w:color w:val="auto"/>
                <w:kern w:val="0"/>
                <w:sz w:val="24"/>
                <w:szCs w:val="24"/>
                <w:highlight w:val="none"/>
                <w:lang w:val="en-US" w:eastAsia="zh-CN"/>
              </w:rPr>
              <w:t>提供</w:t>
            </w:r>
            <w:r>
              <w:rPr>
                <w:rFonts w:hint="eastAsia" w:cs="Times New Roman"/>
                <w:color w:val="auto"/>
                <w:kern w:val="0"/>
                <w:sz w:val="24"/>
                <w:szCs w:val="24"/>
                <w:highlight w:val="none"/>
                <w:lang w:val="en-US" w:eastAsia="zh-CN"/>
              </w:rPr>
              <w:t>住</w:t>
            </w:r>
            <w:r>
              <w:rPr>
                <w:rFonts w:hint="default" w:ascii="Times New Roman" w:hAnsi="Times New Roman" w:eastAsia="宋体" w:cs="Times New Roman"/>
                <w:color w:val="auto"/>
                <w:kern w:val="0"/>
                <w:sz w:val="24"/>
                <w:szCs w:val="24"/>
                <w:highlight w:val="none"/>
                <w:lang w:val="en-US" w:eastAsia="zh-CN"/>
              </w:rPr>
              <w:t>宿，生产天数3</w:t>
            </w:r>
            <w:r>
              <w:rPr>
                <w:rFonts w:hint="eastAsia" w:cs="Times New Roman"/>
                <w:color w:val="auto"/>
                <w:kern w:val="0"/>
                <w:sz w:val="24"/>
                <w:szCs w:val="24"/>
                <w:highlight w:val="none"/>
                <w:lang w:val="en-US" w:eastAsia="zh-CN"/>
              </w:rPr>
              <w:t>00</w:t>
            </w:r>
            <w:r>
              <w:rPr>
                <w:rFonts w:hint="default" w:ascii="Times New Roman" w:hAnsi="Times New Roman" w:eastAsia="宋体" w:cs="Times New Roman"/>
                <w:color w:val="auto"/>
                <w:kern w:val="0"/>
                <w:sz w:val="24"/>
                <w:szCs w:val="24"/>
                <w:highlight w:val="none"/>
                <w:lang w:val="en-US" w:eastAsia="zh-CN"/>
              </w:rPr>
              <w:t>天，实行</w:t>
            </w:r>
            <w:r>
              <w:rPr>
                <w:rFonts w:hint="eastAsia" w:cs="Times New Roman"/>
                <w:color w:val="auto"/>
                <w:kern w:val="0"/>
                <w:sz w:val="24"/>
                <w:szCs w:val="24"/>
                <w:highlight w:val="none"/>
                <w:lang w:val="en-US" w:eastAsia="zh-CN"/>
              </w:rPr>
              <w:t>三</w:t>
            </w:r>
            <w:r>
              <w:rPr>
                <w:rFonts w:hint="default" w:ascii="Times New Roman" w:hAnsi="Times New Roman" w:eastAsia="宋体" w:cs="Times New Roman"/>
                <w:color w:val="auto"/>
                <w:kern w:val="0"/>
                <w:sz w:val="24"/>
                <w:szCs w:val="24"/>
                <w:highlight w:val="none"/>
                <w:lang w:val="en-US" w:eastAsia="zh-CN"/>
              </w:rPr>
              <w:t>班制，每班</w:t>
            </w:r>
            <w:r>
              <w:rPr>
                <w:rFonts w:hint="eastAsia"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lang w:val="en-US" w:eastAsia="zh-CN"/>
              </w:rPr>
              <w:t>小时。</w:t>
            </w:r>
          </w:p>
          <w:p w14:paraId="27D18906">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highlight w:val="none"/>
              </w:rPr>
            </w:pPr>
            <w:r>
              <w:rPr>
                <w:rFonts w:hint="eastAsia" w:cs="Times New Roman"/>
                <w:b/>
                <w:bCs w:val="0"/>
                <w:color w:val="auto"/>
                <w:sz w:val="24"/>
                <w:szCs w:val="24"/>
                <w:highlight w:val="none"/>
                <w:lang w:val="en-US" w:eastAsia="zh-CN"/>
              </w:rPr>
              <w:t>9</w:t>
            </w:r>
            <w:r>
              <w:rPr>
                <w:rFonts w:hint="default"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rPr>
              <w:t>公用工程</w:t>
            </w:r>
          </w:p>
          <w:p w14:paraId="7BCB2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（1）给水</w:t>
            </w:r>
          </w:p>
          <w:p w14:paraId="5F460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项目用水由市政管网供给，用水主要为生活用水</w:t>
            </w:r>
            <w:r>
              <w:rPr>
                <w:rFonts w:hint="eastAsia" w:cs="Times New Roman"/>
                <w:color w:val="auto"/>
                <w:sz w:val="24"/>
                <w:szCs w:val="24"/>
                <w:highlight w:val="none"/>
                <w:lang w:val="en-US" w:eastAsia="zh-CN" w:bidi="ar"/>
              </w:rPr>
              <w:t>及生产用水</w:t>
            </w:r>
            <w:r>
              <w:rPr>
                <w:rFonts w:hint="default" w:ascii="Times New Roman" w:hAnsi="Times New Roman" w:eastAsia="宋体" w:cs="Times New Roman"/>
                <w:color w:val="auto"/>
                <w:sz w:val="24"/>
                <w:szCs w:val="24"/>
                <w:highlight w:val="none"/>
                <w:lang w:bidi="ar"/>
              </w:rPr>
              <w:t>。</w:t>
            </w:r>
          </w:p>
          <w:p w14:paraId="48FF8A3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rPr>
              <w:t>①</w:t>
            </w:r>
            <w:r>
              <w:rPr>
                <w:rFonts w:hint="eastAsia" w:cs="Times New Roman"/>
                <w:color w:val="auto"/>
                <w:sz w:val="24"/>
                <w:szCs w:val="24"/>
                <w:highlight w:val="none"/>
                <w:lang w:val="en-US" w:eastAsia="zh-CN"/>
              </w:rPr>
              <w:t>生活用水：</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劳动定员</w:t>
            </w:r>
            <w:r>
              <w:rPr>
                <w:rFonts w:hint="eastAsia"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lang w:val="en-US" w:eastAsia="zh-CN"/>
              </w:rPr>
              <w:t>人，</w:t>
            </w:r>
            <w:r>
              <w:rPr>
                <w:rFonts w:hint="eastAsia" w:cs="Times New Roman"/>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提供</w:t>
            </w:r>
            <w:r>
              <w:rPr>
                <w:rFonts w:hint="eastAsia" w:cs="Times New Roman"/>
                <w:color w:val="auto"/>
                <w:sz w:val="24"/>
                <w:szCs w:val="24"/>
                <w:highlight w:val="none"/>
                <w:lang w:val="en-US" w:eastAsia="zh-CN"/>
              </w:rPr>
              <w:t>住</w:t>
            </w:r>
            <w:r>
              <w:rPr>
                <w:rFonts w:hint="default" w:ascii="Times New Roman" w:hAnsi="Times New Roman" w:eastAsia="宋体" w:cs="Times New Roman"/>
                <w:color w:val="auto"/>
                <w:sz w:val="24"/>
                <w:szCs w:val="24"/>
                <w:highlight w:val="none"/>
                <w:lang w:val="en-US" w:eastAsia="zh-CN"/>
              </w:rPr>
              <w:t>宿</w:t>
            </w:r>
            <w:r>
              <w:rPr>
                <w:rFonts w:hint="default" w:ascii="Times New Roman" w:hAnsi="Times New Roman" w:eastAsia="宋体" w:cs="Times New Roman"/>
                <w:color w:val="auto"/>
                <w:sz w:val="24"/>
                <w:szCs w:val="24"/>
                <w:highlight w:val="none"/>
              </w:rPr>
              <w:t>。根据陕西省《行业用水定额》（DB61/T943-20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附录B中表B.1</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行政办公及科研院所，</w:t>
            </w:r>
            <w:r>
              <w:rPr>
                <w:rFonts w:hint="default" w:ascii="Times New Roman" w:hAnsi="Times New Roman" w:eastAsia="宋体" w:cs="Times New Roman"/>
                <w:color w:val="auto"/>
                <w:sz w:val="24"/>
                <w:szCs w:val="24"/>
                <w:highlight w:val="none"/>
              </w:rPr>
              <w:t>并结合本项目的实际情况用水</w:t>
            </w:r>
            <w:r>
              <w:rPr>
                <w:rFonts w:hint="default" w:ascii="Times New Roman" w:hAnsi="Times New Roman" w:eastAsia="宋体" w:cs="Times New Roman"/>
                <w:color w:val="auto"/>
                <w:sz w:val="24"/>
                <w:szCs w:val="24"/>
                <w:highlight w:val="none"/>
                <w:lang w:val="en-US" w:eastAsia="zh-CN"/>
              </w:rPr>
              <w:t>定额</w:t>
            </w:r>
            <w:r>
              <w:rPr>
                <w:rFonts w:hint="default" w:ascii="Times New Roman" w:hAnsi="Times New Roman" w:eastAsia="宋体" w:cs="Times New Roman"/>
                <w:color w:val="auto"/>
                <w:sz w:val="24"/>
                <w:szCs w:val="24"/>
                <w:highlight w:val="none"/>
              </w:rPr>
              <w:t>按每人</w:t>
            </w:r>
            <w:r>
              <w:rPr>
                <w:rFonts w:hint="eastAsia" w:cs="Times New Roman"/>
                <w:color w:val="auto"/>
                <w:sz w:val="24"/>
                <w:szCs w:val="24"/>
                <w:highlight w:val="none"/>
                <w:lang w:val="en-US" w:eastAsia="zh-CN"/>
              </w:rPr>
              <w:t>每年10m</w:t>
            </w:r>
            <w:r>
              <w:rPr>
                <w:rFonts w:hint="eastAsia"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则员工</w:t>
            </w:r>
            <w:r>
              <w:rPr>
                <w:rFonts w:hint="default" w:ascii="Times New Roman" w:hAnsi="Times New Roman" w:eastAsia="宋体"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rPr>
              <w:t>用水量为</w:t>
            </w:r>
            <w:r>
              <w:rPr>
                <w:rFonts w:hint="eastAsia" w:cs="Times New Roman"/>
                <w:color w:val="auto"/>
                <w:sz w:val="24"/>
                <w:szCs w:val="24"/>
                <w:highlight w:val="none"/>
                <w:lang w:val="en-US" w:eastAsia="zh-CN"/>
              </w:rPr>
              <w:t>2.83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val="en-US" w:eastAsia="zh-CN"/>
              </w:rPr>
              <w:t>850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p>
          <w:p w14:paraId="60DB350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②生产用水主要为标准溶液配制用水</w:t>
            </w:r>
            <w:r>
              <w:rPr>
                <w:rFonts w:hint="eastAsia" w:cs="Times New Roman"/>
                <w:color w:val="auto"/>
                <w:sz w:val="24"/>
                <w:szCs w:val="24"/>
                <w:highlight w:val="none"/>
                <w:lang w:val="en-US" w:eastAsia="zh-CN"/>
              </w:rPr>
              <w:t>、</w:t>
            </w:r>
            <w:r>
              <w:rPr>
                <w:rFonts w:hint="eastAsia" w:cs="Times New Roman"/>
                <w:color w:val="auto"/>
                <w:sz w:val="24"/>
                <w:szCs w:val="24"/>
                <w:highlight w:val="none"/>
                <w:lang w:val="en-US" w:eastAsia="zh-CN" w:bidi="ar"/>
              </w:rPr>
              <w:t>设备冷却用水、切削液配比用水、切割用水、实验器皿清洗用水、喷淋塔用水。</w:t>
            </w:r>
          </w:p>
          <w:p w14:paraId="4A2DE79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lang w:val="en-US" w:eastAsia="zh-CN" w:bidi="ar"/>
              </w:rPr>
            </w:pPr>
            <w:r>
              <w:rPr>
                <w:rFonts w:hint="eastAsia" w:cs="Times New Roman"/>
                <w:color w:val="auto"/>
                <w:sz w:val="24"/>
                <w:szCs w:val="24"/>
                <w:highlight w:val="none"/>
                <w:lang w:val="en-US" w:eastAsia="zh-CN" w:bidi="ar"/>
              </w:rPr>
              <w:t>a.</w:t>
            </w:r>
            <w:r>
              <w:rPr>
                <w:rFonts w:hint="eastAsia" w:cs="Times New Roman"/>
                <w:color w:val="auto"/>
                <w:sz w:val="24"/>
                <w:szCs w:val="24"/>
                <w:highlight w:val="none"/>
                <w:lang w:val="en-US" w:eastAsia="zh-CN"/>
              </w:rPr>
              <w:t>标准溶液配制用水：本项目标准溶液需用纯水进行配制，</w:t>
            </w:r>
            <w:r>
              <w:rPr>
                <w:rFonts w:hint="eastAsia" w:cs="Times New Roman"/>
                <w:color w:val="auto"/>
                <w:sz w:val="24"/>
                <w:szCs w:val="24"/>
                <w:highlight w:val="none"/>
                <w:lang w:val="en-US" w:eastAsia="zh-CN" w:bidi="ar"/>
              </w:rPr>
              <w:t>根据建设单位提供资料，配制</w:t>
            </w:r>
            <w:r>
              <w:rPr>
                <w:rFonts w:hint="eastAsia" w:cs="Times New Roman"/>
                <w:color w:val="auto"/>
                <w:sz w:val="24"/>
                <w:szCs w:val="24"/>
                <w:highlight w:val="none"/>
                <w:lang w:val="en-US" w:eastAsia="zh-CN"/>
              </w:rPr>
              <w:t>标准溶液的纯水用量为</w:t>
            </w:r>
            <w:r>
              <w:rPr>
                <w:rFonts w:hint="default" w:ascii="Times New Roman" w:hAnsi="Times New Roman" w:eastAsia="宋体" w:cs="Times New Roman"/>
                <w:color w:val="auto"/>
                <w:sz w:val="24"/>
                <w:szCs w:val="24"/>
                <w:highlight w:val="none"/>
                <w:lang w:val="en-US" w:eastAsia="zh-CN"/>
              </w:rPr>
              <w:t>0.0</w:t>
            </w: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14:paraId="02D928A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bidi="ar"/>
              </w:rPr>
              <w:t>b.设备冷却用水</w:t>
            </w:r>
            <w:r>
              <w:rPr>
                <w:rFonts w:hint="default" w:ascii="Times New Roman" w:hAnsi="Times New Roman" w:eastAsia="宋体" w:cs="Times New Roman"/>
                <w:color w:val="auto"/>
                <w:sz w:val="24"/>
                <w:highlight w:val="none"/>
              </w:rPr>
              <w:t>：本项目熔化过程中配套建设循环冷却水系统，项目中冷却循环装置为全封闭设计，不与物料直接接触，冷却水中不会混入其他污染物。该冷却循环装置容量为50m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，循环水量为200m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/d，因为冷却循环封闭性好，水分蒸发量较小，根据建设单位提供资料</w:t>
            </w:r>
            <w:r>
              <w:rPr>
                <w:rFonts w:hint="eastAsia" w:cs="Times New Roman"/>
                <w:color w:val="auto"/>
                <w:sz w:val="24"/>
                <w:highlight w:val="none"/>
                <w:lang w:eastAsia="zh-CN"/>
              </w:rPr>
              <w:t>，</w:t>
            </w:r>
            <w:r>
              <w:rPr>
                <w:rFonts w:hint="eastAsia" w:cs="Times New Roman"/>
                <w:color w:val="auto"/>
                <w:sz w:val="24"/>
                <w:highlight w:val="none"/>
                <w:lang w:val="en-US" w:eastAsia="zh-CN"/>
              </w:rPr>
              <w:t>设备冷却水补充水量为</w:t>
            </w:r>
            <w:r>
              <w:rPr>
                <w:rFonts w:hint="default" w:ascii="Times New Roman" w:hAnsi="Times New Roman" w:eastAsia="宋体" w:cs="Times New Roman"/>
                <w:color w:val="auto"/>
                <w:sz w:val="24"/>
                <w:highlight w:val="none"/>
              </w:rPr>
              <w:t>5m</w:t>
            </w:r>
            <w:r>
              <w:rPr>
                <w:rFonts w:hint="default" w:ascii="Times New Roman" w:hAnsi="Times New Roman" w:eastAsia="宋体" w:cs="Times New Roman"/>
                <w:color w:val="auto"/>
                <w:sz w:val="24"/>
                <w:highlight w:val="none"/>
                <w:vertAlign w:val="superscript"/>
              </w:rPr>
              <w:t>3</w:t>
            </w:r>
            <w:r>
              <w:rPr>
                <w:rFonts w:hint="eastAsia" w:cs="Times New Roman"/>
                <w:color w:val="auto"/>
                <w:sz w:val="24"/>
                <w:highlight w:val="none"/>
                <w:lang w:val="en-US" w:eastAsia="zh-CN"/>
              </w:rPr>
              <w:t>/d，1500m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w:t>
            </w:r>
          </w:p>
          <w:p w14:paraId="2F8B6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default" w:ascii="Times New Roman" w:hAnsi="Times New Roman" w:eastAsia="宋体" w:cs="Times New Roman"/>
                <w:color w:val="auto"/>
                <w:sz w:val="24"/>
                <w:szCs w:val="24"/>
                <w:highlight w:val="none"/>
                <w:lang w:bidi="ar"/>
              </w:rPr>
            </w:pPr>
            <w:r>
              <w:rPr>
                <w:rFonts w:hint="eastAsia" w:cs="Times New Roman"/>
                <w:color w:val="auto"/>
                <w:sz w:val="24"/>
                <w:szCs w:val="24"/>
                <w:highlight w:val="none"/>
                <w:lang w:val="en-US" w:eastAsia="zh-CN" w:bidi="ar"/>
              </w:rPr>
              <w:t>c.切削液配比用水</w:t>
            </w:r>
            <w:r>
              <w:rPr>
                <w:rFonts w:hint="default" w:ascii="Times New Roman" w:hAnsi="Times New Roman" w:eastAsia="宋体" w:cs="Times New Roman"/>
                <w:color w:val="auto"/>
                <w:sz w:val="24"/>
                <w:highlight w:val="none"/>
              </w:rPr>
              <w:t>：本项目的机械加工设备使用切削液进行冷却加工，根据建设单位提供资料，本项目的切削液与水按照1:4的比例进行配比后循环使用，本项目的切削液配比用水量为0.027m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/d，8m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p>
          <w:p w14:paraId="2D3281D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rPr>
            </w:pPr>
            <w:r>
              <w:rPr>
                <w:rFonts w:hint="eastAsia" w:cs="Times New Roman"/>
                <w:color w:val="auto"/>
                <w:sz w:val="24"/>
                <w:szCs w:val="24"/>
                <w:highlight w:val="none"/>
                <w:lang w:val="en-US" w:eastAsia="zh-CN" w:bidi="ar"/>
              </w:rPr>
              <w:t>d.切割用水：金属预处理过程采用水切割，</w:t>
            </w:r>
            <w:r>
              <w:rPr>
                <w:rFonts w:hint="default" w:ascii="Times New Roman" w:hAnsi="Times New Roman" w:eastAsia="宋体" w:cs="Times New Roman"/>
                <w:color w:val="auto"/>
                <w:sz w:val="24"/>
                <w:highlight w:val="none"/>
              </w:rPr>
              <w:t>根据建设单位提供资料，</w:t>
            </w:r>
            <w:r>
              <w:rPr>
                <w:rFonts w:hint="eastAsia" w:ascii="Times New Roman" w:hAnsi="Times New Roman" w:eastAsia="宋体" w:cs="Times New Roman"/>
                <w:color w:val="auto"/>
                <w:sz w:val="24"/>
                <w:highlight w:val="none"/>
                <w:lang w:val="en-US" w:eastAsia="zh-CN"/>
              </w:rPr>
              <w:t>切割废水进入设备自带循环水箱</w:t>
            </w:r>
            <w:r>
              <w:rPr>
                <w:rFonts w:hint="default" w:ascii="Times New Roman" w:hAnsi="Times New Roman" w:eastAsia="宋体" w:cs="Times New Roman"/>
                <w:color w:val="auto"/>
                <w:sz w:val="24"/>
                <w:szCs w:val="24"/>
                <w:highlight w:val="none"/>
              </w:rPr>
              <w:t>经沉淀后再次循环利用</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不外排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每</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天需向循环水箱中添加0.2m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水，则</w:t>
            </w:r>
            <w:r>
              <w:rPr>
                <w:rFonts w:hint="eastAsia" w:ascii="Times New Roman" w:hAnsi="Times New Roman" w:eastAsia="宋体" w:cs="Times New Roman"/>
                <w:color w:val="auto"/>
                <w:sz w:val="24"/>
                <w:szCs w:val="24"/>
                <w:highlight w:val="none"/>
                <w:lang w:val="en-US" w:eastAsia="zh-CN"/>
              </w:rPr>
              <w:t>切割</w:t>
            </w:r>
            <w:r>
              <w:rPr>
                <w:rFonts w:hint="default" w:ascii="Times New Roman" w:hAnsi="Times New Roman" w:eastAsia="宋体" w:cs="Times New Roman"/>
                <w:color w:val="auto"/>
                <w:sz w:val="24"/>
                <w:szCs w:val="24"/>
                <w:highlight w:val="none"/>
                <w:lang w:val="en-US" w:eastAsia="zh-CN"/>
              </w:rPr>
              <w:t>用水量为0.0</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14:paraId="151D4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eastAsia" w:ascii="Times New Roman" w:hAnsi="Times New Roman" w:eastAsia="宋体" w:cs="Times New Roman"/>
                <w:color w:val="auto"/>
                <w:sz w:val="24"/>
                <w:szCs w:val="24"/>
                <w:highlight w:val="none"/>
                <w:lang w:val="en-US" w:eastAsia="zh-CN" w:bidi="ar"/>
              </w:rPr>
            </w:pPr>
            <w:r>
              <w:rPr>
                <w:rFonts w:hint="eastAsia" w:cs="Times New Roman"/>
                <w:color w:val="auto"/>
                <w:sz w:val="24"/>
                <w:szCs w:val="24"/>
                <w:highlight w:val="none"/>
                <w:lang w:val="en-US" w:eastAsia="zh-CN" w:bidi="ar"/>
              </w:rPr>
              <w:t>e.实验器皿清洗用水：本项目实验完成后会对实验器皿进行清洗，共清洗三遍。其中第一遍采用新鲜水清洗，第二、三遍采用纯水清洗（纯水外购）。根据建设单位提供资料，第一遍新鲜水清洗用水量为</w:t>
            </w:r>
            <w:r>
              <w:rPr>
                <w:rFonts w:hint="default" w:ascii="Times New Roman" w:hAnsi="Times New Roman" w:eastAsia="宋体" w:cs="Times New Roman"/>
                <w:color w:val="auto"/>
                <w:sz w:val="24"/>
                <w:highlight w:val="none"/>
              </w:rPr>
              <w:t>0.</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/d，</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cs="Times New Roman"/>
                <w:color w:val="auto"/>
                <w:sz w:val="24"/>
                <w:highlight w:val="none"/>
                <w:lang w:eastAsia="zh-CN"/>
              </w:rPr>
              <w:t>，</w:t>
            </w:r>
            <w:r>
              <w:rPr>
                <w:rFonts w:hint="eastAsia" w:cs="Times New Roman"/>
                <w:color w:val="auto"/>
                <w:sz w:val="24"/>
                <w:szCs w:val="24"/>
                <w:highlight w:val="none"/>
                <w:lang w:val="en-US" w:eastAsia="zh-CN" w:bidi="ar"/>
              </w:rPr>
              <w:t>第二、三遍纯水清洗用水量为</w:t>
            </w:r>
            <w:r>
              <w:rPr>
                <w:rFonts w:hint="default" w:ascii="Times New Roman" w:hAnsi="Times New Roman" w:eastAsia="宋体" w:cs="Times New Roman"/>
                <w:color w:val="auto"/>
                <w:sz w:val="24"/>
                <w:highlight w:val="none"/>
              </w:rPr>
              <w:t>0.0</w:t>
            </w:r>
            <w:r>
              <w:rPr>
                <w:rFonts w:hint="eastAsia" w:cs="Times New Roman"/>
                <w:color w:val="auto"/>
                <w:sz w:val="24"/>
                <w:highlight w:val="none"/>
                <w:lang w:val="en-US" w:eastAsia="zh-CN"/>
              </w:rPr>
              <w:t>67</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eastAsia" w:cs="Times New Roman"/>
                <w:color w:val="auto"/>
                <w:sz w:val="24"/>
                <w:highlight w:val="none"/>
                <w:lang w:val="en-US" w:eastAsia="zh-CN"/>
              </w:rPr>
              <w:t>20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cs="Times New Roman"/>
                <w:color w:val="auto"/>
                <w:sz w:val="24"/>
                <w:highlight w:val="none"/>
                <w:lang w:val="en-US" w:eastAsia="zh-CN"/>
              </w:rPr>
              <w:t>。</w:t>
            </w:r>
          </w:p>
          <w:p w14:paraId="3B019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eastAsia" w:ascii="Times New Roman" w:hAnsi="Times New Roman" w:eastAsia="宋体" w:cs="Times New Roman"/>
                <w:color w:val="auto"/>
                <w:sz w:val="24"/>
                <w:szCs w:val="24"/>
                <w:highlight w:val="none"/>
                <w:lang w:val="en-US" w:eastAsia="zh-CN" w:bidi="ar"/>
              </w:rPr>
            </w:pPr>
            <w:r>
              <w:rPr>
                <w:rFonts w:hint="eastAsia" w:cs="Times New Roman"/>
                <w:color w:val="auto"/>
                <w:sz w:val="24"/>
                <w:szCs w:val="24"/>
                <w:highlight w:val="none"/>
                <w:lang w:val="en-US" w:eastAsia="zh-CN" w:bidi="ar"/>
              </w:rPr>
              <w:t>f.喷淋塔用水：本项目喷淋塔循环水箱0.5m</w:t>
            </w:r>
            <w:r>
              <w:rPr>
                <w:rFonts w:hint="eastAsia" w:cs="Times New Roman"/>
                <w:color w:val="auto"/>
                <w:sz w:val="24"/>
                <w:szCs w:val="24"/>
                <w:highlight w:val="none"/>
                <w:vertAlign w:val="superscript"/>
                <w:lang w:val="en-US" w:eastAsia="zh-CN" w:bidi="ar"/>
              </w:rPr>
              <w:t>3</w:t>
            </w:r>
            <w:r>
              <w:rPr>
                <w:rFonts w:hint="eastAsia" w:cs="Times New Roman"/>
                <w:color w:val="auto"/>
                <w:sz w:val="24"/>
                <w:szCs w:val="24"/>
                <w:highlight w:val="none"/>
                <w:lang w:val="en-US" w:eastAsia="zh-CN" w:bidi="ar"/>
              </w:rPr>
              <w:t>，循环水量约为水箱体积的80%，即循环水量约0.4m</w:t>
            </w:r>
            <w:r>
              <w:rPr>
                <w:rFonts w:hint="eastAsia" w:cs="Times New Roman"/>
                <w:color w:val="auto"/>
                <w:sz w:val="24"/>
                <w:szCs w:val="24"/>
                <w:highlight w:val="none"/>
                <w:vertAlign w:val="superscript"/>
                <w:lang w:val="en-US" w:eastAsia="zh-CN" w:bidi="ar"/>
              </w:rPr>
              <w:t>3</w:t>
            </w:r>
            <w:r>
              <w:rPr>
                <w:rFonts w:hint="eastAsia" w:cs="Times New Roman"/>
                <w:color w:val="auto"/>
                <w:sz w:val="24"/>
                <w:szCs w:val="24"/>
                <w:highlight w:val="none"/>
                <w:lang w:val="en-US" w:eastAsia="zh-CN" w:bidi="ar"/>
              </w:rPr>
              <w:t>，喷淋塔运行过程损耗按20%计，则运行损耗补充水为0.08m</w:t>
            </w:r>
            <w:r>
              <w:rPr>
                <w:rFonts w:hint="eastAsia" w:cs="Times New Roman"/>
                <w:color w:val="auto"/>
                <w:sz w:val="24"/>
                <w:szCs w:val="24"/>
                <w:highlight w:val="none"/>
                <w:vertAlign w:val="superscript"/>
                <w:lang w:val="en-US" w:eastAsia="zh-CN" w:bidi="ar"/>
              </w:rPr>
              <w:t>3</w:t>
            </w:r>
            <w:r>
              <w:rPr>
                <w:rFonts w:hint="eastAsia" w:cs="Times New Roman"/>
                <w:color w:val="auto"/>
                <w:sz w:val="24"/>
                <w:szCs w:val="24"/>
                <w:highlight w:val="none"/>
                <w:lang w:val="en-US" w:eastAsia="zh-CN" w:bidi="ar"/>
              </w:rPr>
              <w:t>/d，24m</w:t>
            </w:r>
            <w:r>
              <w:rPr>
                <w:rFonts w:hint="eastAsia" w:cs="Times New Roman"/>
                <w:color w:val="auto"/>
                <w:sz w:val="24"/>
                <w:szCs w:val="24"/>
                <w:highlight w:val="none"/>
                <w:vertAlign w:val="superscript"/>
                <w:lang w:val="en-US" w:eastAsia="zh-CN" w:bidi="ar"/>
              </w:rPr>
              <w:t>3</w:t>
            </w:r>
            <w:r>
              <w:rPr>
                <w:rFonts w:hint="eastAsia" w:cs="Times New Roman"/>
                <w:color w:val="auto"/>
                <w:sz w:val="24"/>
                <w:szCs w:val="24"/>
                <w:highlight w:val="none"/>
                <w:lang w:val="en-US" w:eastAsia="zh-CN" w:bidi="ar"/>
              </w:rPr>
              <w:t>/a；另循环水平均每月放空排放一次，每次排放废水约0.4m</w:t>
            </w:r>
            <w:r>
              <w:rPr>
                <w:rFonts w:hint="eastAsia" w:cs="Times New Roman"/>
                <w:color w:val="auto"/>
                <w:sz w:val="24"/>
                <w:szCs w:val="24"/>
                <w:highlight w:val="none"/>
                <w:vertAlign w:val="superscript"/>
                <w:lang w:val="en-US" w:eastAsia="zh-CN" w:bidi="ar"/>
              </w:rPr>
              <w:t>3</w:t>
            </w:r>
            <w:r>
              <w:rPr>
                <w:rFonts w:hint="eastAsia" w:cs="Times New Roman"/>
                <w:color w:val="auto"/>
                <w:sz w:val="24"/>
                <w:szCs w:val="24"/>
                <w:highlight w:val="none"/>
                <w:lang w:val="en-US" w:eastAsia="zh-CN" w:bidi="ar"/>
              </w:rPr>
              <w:t>，喷淋塔废水作为危险废物采用专用容器收集后，交由有资质的单位处置</w:t>
            </w:r>
            <w:r>
              <w:rPr>
                <w:rFonts w:hint="eastAsia" w:cs="Times New Roman"/>
                <w:color w:val="auto"/>
                <w:sz w:val="24"/>
                <w:szCs w:val="24"/>
                <w:highlight w:val="none"/>
                <w:lang w:val="en-US" w:eastAsia="zh-CN" w:bidi="ar"/>
              </w:rPr>
              <w:t>。放空排放后需重新补充新鲜水0.4m</w:t>
            </w:r>
            <w:r>
              <w:rPr>
                <w:rFonts w:hint="eastAsia" w:cs="Times New Roman"/>
                <w:color w:val="auto"/>
                <w:sz w:val="24"/>
                <w:szCs w:val="24"/>
                <w:highlight w:val="none"/>
                <w:vertAlign w:val="superscript"/>
                <w:lang w:val="en-US" w:eastAsia="zh-CN" w:bidi="ar"/>
              </w:rPr>
              <w:t>3</w:t>
            </w:r>
            <w:r>
              <w:rPr>
                <w:rFonts w:hint="eastAsia" w:cs="Times New Roman"/>
                <w:color w:val="auto"/>
                <w:sz w:val="24"/>
                <w:szCs w:val="24"/>
                <w:highlight w:val="none"/>
                <w:lang w:val="en-US" w:eastAsia="zh-CN" w:bidi="ar"/>
              </w:rPr>
              <w:t>，则放空补充水为4.8m</w:t>
            </w:r>
            <w:r>
              <w:rPr>
                <w:rFonts w:hint="eastAsia" w:cs="Times New Roman"/>
                <w:color w:val="auto"/>
                <w:sz w:val="24"/>
                <w:szCs w:val="24"/>
                <w:highlight w:val="none"/>
                <w:vertAlign w:val="superscript"/>
                <w:lang w:val="en-US" w:eastAsia="zh-CN" w:bidi="ar"/>
              </w:rPr>
              <w:t>3</w:t>
            </w:r>
            <w:r>
              <w:rPr>
                <w:rFonts w:hint="eastAsia" w:cs="Times New Roman"/>
                <w:color w:val="auto"/>
                <w:sz w:val="24"/>
                <w:szCs w:val="24"/>
                <w:highlight w:val="none"/>
                <w:lang w:val="en-US" w:eastAsia="zh-CN" w:bidi="ar"/>
              </w:rPr>
              <w:t>/a。</w:t>
            </w:r>
            <w:r>
              <w:rPr>
                <w:rFonts w:hint="default"/>
                <w:color w:val="auto"/>
                <w:kern w:val="0"/>
                <w:sz w:val="24"/>
                <w:szCs w:val="22"/>
                <w:highlight w:val="none"/>
              </w:rPr>
              <w:t>经计算，项目</w:t>
            </w:r>
            <w:r>
              <w:rPr>
                <w:rFonts w:hint="eastAsia"/>
                <w:color w:val="auto"/>
                <w:kern w:val="0"/>
                <w:sz w:val="24"/>
                <w:szCs w:val="22"/>
                <w:highlight w:val="none"/>
              </w:rPr>
              <w:t>喷淋</w:t>
            </w:r>
            <w:r>
              <w:rPr>
                <w:rFonts w:hint="default"/>
                <w:color w:val="auto"/>
                <w:kern w:val="0"/>
                <w:sz w:val="24"/>
                <w:szCs w:val="22"/>
                <w:highlight w:val="none"/>
              </w:rPr>
              <w:t>塔用水合计为</w:t>
            </w:r>
            <w:r>
              <w:rPr>
                <w:rFonts w:hint="eastAsia"/>
                <w:color w:val="auto"/>
                <w:kern w:val="0"/>
                <w:sz w:val="24"/>
                <w:szCs w:val="22"/>
                <w:highlight w:val="none"/>
                <w:lang w:val="en-US" w:eastAsia="zh-CN"/>
              </w:rPr>
              <w:t>0.096.</w:t>
            </w:r>
            <w:r>
              <w:rPr>
                <w:rFonts w:hint="default"/>
                <w:color w:val="auto"/>
                <w:kern w:val="0"/>
                <w:sz w:val="24"/>
                <w:szCs w:val="22"/>
                <w:highlight w:val="none"/>
              </w:rPr>
              <w:t>m</w:t>
            </w:r>
            <w:r>
              <w:rPr>
                <w:rFonts w:hint="default"/>
                <w:color w:val="auto"/>
                <w:kern w:val="0"/>
                <w:sz w:val="24"/>
                <w:szCs w:val="22"/>
                <w:highlight w:val="none"/>
                <w:vertAlign w:val="superscript"/>
              </w:rPr>
              <w:t>3</w:t>
            </w:r>
            <w:r>
              <w:rPr>
                <w:rFonts w:hint="default"/>
                <w:color w:val="auto"/>
                <w:kern w:val="0"/>
                <w:sz w:val="24"/>
                <w:szCs w:val="22"/>
                <w:highlight w:val="none"/>
              </w:rPr>
              <w:t>/a，</w:t>
            </w:r>
            <w:r>
              <w:rPr>
                <w:rFonts w:hint="eastAsia"/>
                <w:color w:val="auto"/>
                <w:kern w:val="0"/>
                <w:sz w:val="24"/>
                <w:szCs w:val="22"/>
                <w:highlight w:val="none"/>
                <w:lang w:val="en-US" w:eastAsia="zh-CN"/>
              </w:rPr>
              <w:t>28.8</w:t>
            </w:r>
            <w:r>
              <w:rPr>
                <w:rFonts w:hint="default"/>
                <w:color w:val="auto"/>
                <w:kern w:val="0"/>
                <w:sz w:val="24"/>
                <w:szCs w:val="22"/>
                <w:highlight w:val="none"/>
              </w:rPr>
              <w:t>m</w:t>
            </w:r>
            <w:r>
              <w:rPr>
                <w:rFonts w:hint="default"/>
                <w:color w:val="auto"/>
                <w:kern w:val="0"/>
                <w:sz w:val="24"/>
                <w:szCs w:val="22"/>
                <w:highlight w:val="none"/>
                <w:vertAlign w:val="superscript"/>
              </w:rPr>
              <w:t>3</w:t>
            </w:r>
            <w:r>
              <w:rPr>
                <w:rFonts w:hint="default"/>
                <w:color w:val="auto"/>
                <w:kern w:val="0"/>
                <w:sz w:val="24"/>
                <w:szCs w:val="22"/>
                <w:highlight w:val="none"/>
              </w:rPr>
              <w:t>/a</w:t>
            </w:r>
            <w:r>
              <w:rPr>
                <w:rFonts w:hint="eastAsia"/>
                <w:color w:val="auto"/>
                <w:kern w:val="0"/>
                <w:sz w:val="24"/>
                <w:szCs w:val="22"/>
                <w:highlight w:val="none"/>
                <w:lang w:eastAsia="zh-CN"/>
              </w:rPr>
              <w:t>。</w:t>
            </w:r>
          </w:p>
          <w:p w14:paraId="5DA20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（2）排水</w:t>
            </w:r>
          </w:p>
          <w:p w14:paraId="60DA8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项目废水主要为生活污水</w:t>
            </w:r>
            <w:r>
              <w:rPr>
                <w:rFonts w:hint="eastAsia" w:cs="Times New Roman"/>
                <w:color w:val="auto"/>
                <w:sz w:val="24"/>
                <w:highlight w:val="none"/>
                <w:lang w:val="en-US" w:eastAsia="zh-CN"/>
              </w:rPr>
              <w:t>及生产废水。</w:t>
            </w:r>
          </w:p>
          <w:p w14:paraId="546A2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highlight w:val="none"/>
              </w:rPr>
              <w:t>①</w:t>
            </w:r>
            <w:r>
              <w:rPr>
                <w:rFonts w:hint="default" w:ascii="Times New Roman" w:hAnsi="Times New Roman" w:eastAsia="宋体" w:cs="Times New Roman"/>
                <w:color w:val="auto"/>
                <w:sz w:val="24"/>
                <w:szCs w:val="24"/>
                <w:highlight w:val="none"/>
                <w:lang w:bidi="ar"/>
              </w:rPr>
              <w:t>项目生活污水产污系数取</w:t>
            </w:r>
            <w:r>
              <w:rPr>
                <w:rFonts w:hint="default" w:ascii="Times New Roman" w:hAnsi="Times New Roman" w:eastAsia="宋体" w:cs="Times New Roman"/>
                <w:color w:val="auto"/>
                <w:sz w:val="24"/>
                <w:szCs w:val="24"/>
                <w:highlight w:val="none"/>
              </w:rPr>
              <w:t>80%计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bidi="ar"/>
              </w:rPr>
              <w:t>则生活污水排放量为</w:t>
            </w:r>
            <w:r>
              <w:rPr>
                <w:rFonts w:hint="eastAsia" w:cs="Times New Roman"/>
                <w:color w:val="auto"/>
                <w:sz w:val="24"/>
                <w:szCs w:val="24"/>
                <w:highlight w:val="none"/>
                <w:lang w:val="en-US" w:eastAsia="zh-CN" w:bidi="ar"/>
              </w:rPr>
              <w:t>2.27</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r>
              <w:rPr>
                <w:rFonts w:hint="eastAsia" w:cs="Times New Roman"/>
                <w:color w:val="auto"/>
                <w:sz w:val="24"/>
                <w:szCs w:val="24"/>
                <w:highlight w:val="none"/>
                <w:lang w:val="en-US" w:eastAsia="zh-CN" w:bidi="ar"/>
              </w:rPr>
              <w:t>680</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/a</w:t>
            </w:r>
            <w:r>
              <w:rPr>
                <w:rFonts w:hint="default" w:ascii="Times New Roman" w:hAnsi="Times New Roman" w:eastAsia="宋体" w:cs="Times New Roman"/>
                <w:color w:val="auto"/>
                <w:kern w:val="0"/>
                <w:sz w:val="24"/>
                <w:szCs w:val="24"/>
                <w:highlight w:val="none"/>
                <w:lang w:val="en-US" w:eastAsia="zh-CN" w:bidi="ar"/>
              </w:rPr>
              <w:t>。</w:t>
            </w:r>
          </w:p>
          <w:p w14:paraId="6DA160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②生产废水主要为</w:t>
            </w:r>
            <w:r>
              <w:rPr>
                <w:rFonts w:hint="eastAsia" w:cs="Times New Roman"/>
                <w:color w:val="auto"/>
                <w:sz w:val="24"/>
                <w:highlight w:val="none"/>
                <w:lang w:val="en-US" w:eastAsia="zh-CN"/>
              </w:rPr>
              <w:t>设备冷却废水、</w:t>
            </w:r>
            <w:r>
              <w:rPr>
                <w:rFonts w:hint="eastAsia" w:cs="Times New Roman"/>
                <w:color w:val="auto"/>
                <w:sz w:val="24"/>
                <w:szCs w:val="24"/>
                <w:highlight w:val="none"/>
                <w:lang w:val="en-US" w:eastAsia="zh-CN" w:bidi="ar"/>
              </w:rPr>
              <w:t>实验器皿清洗废水、喷淋塔废水。</w:t>
            </w:r>
          </w:p>
          <w:p w14:paraId="610A3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a.</w:t>
            </w:r>
            <w:r>
              <w:rPr>
                <w:rFonts w:hint="default" w:ascii="Times New Roman" w:hAnsi="Times New Roman" w:eastAsia="宋体" w:cs="Times New Roman"/>
                <w:color w:val="auto"/>
                <w:sz w:val="24"/>
                <w:highlight w:val="none"/>
              </w:rPr>
              <w:t>本项目的真空自耗炉的冷却水循环利用，定期补充新鲜水，设备冷却水循环利用后，每季度更换一次，更换的冷却废水为50m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/次，200m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cs="Times New Roman"/>
                <w:color w:val="auto"/>
                <w:sz w:val="24"/>
                <w:highlight w:val="none"/>
                <w:lang w:eastAsia="zh-CN"/>
              </w:rPr>
              <w:t>定期更换的冷却废水经化粪池收集后由市政管网排入沣西新城大王污水处理厂深度处理</w:t>
            </w:r>
            <w:r>
              <w:rPr>
                <w:rFonts w:hint="default" w:ascii="Times New Roman" w:hAnsi="Times New Roman" w:eastAsia="宋体" w:cs="Times New Roman"/>
                <w:color w:val="auto"/>
                <w:sz w:val="24"/>
                <w:highlight w:val="none"/>
              </w:rPr>
              <w:t>。</w:t>
            </w:r>
          </w:p>
          <w:p w14:paraId="72B17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eastAsia" w:cs="Times New Roman"/>
                <w:color w:val="auto"/>
                <w:sz w:val="24"/>
                <w:szCs w:val="24"/>
                <w:highlight w:val="none"/>
                <w:lang w:val="en-US" w:eastAsia="zh-CN" w:bidi="ar"/>
              </w:rPr>
            </w:pPr>
            <w:r>
              <w:rPr>
                <w:rFonts w:hint="eastAsia" w:cs="Times New Roman"/>
                <w:color w:val="auto"/>
                <w:sz w:val="24"/>
                <w:szCs w:val="24"/>
                <w:highlight w:val="none"/>
                <w:lang w:val="en-US" w:eastAsia="zh-CN"/>
              </w:rPr>
              <w:t>b.</w:t>
            </w:r>
            <w:r>
              <w:rPr>
                <w:rFonts w:hint="eastAsia" w:cs="Times New Roman"/>
                <w:color w:val="auto"/>
                <w:sz w:val="24"/>
                <w:szCs w:val="24"/>
                <w:highlight w:val="none"/>
                <w:lang w:val="en-US" w:eastAsia="zh-CN" w:bidi="ar"/>
              </w:rPr>
              <w:t>实验器皿清洗废水：本项目实验器皿共清洗三遍。第一遍清洗废水取90%计，则第一遍清洗废水产生量为</w:t>
            </w:r>
            <w:r>
              <w:rPr>
                <w:rFonts w:hint="default" w:ascii="Times New Roman" w:hAnsi="Times New Roman" w:eastAsia="宋体" w:cs="Times New Roman"/>
                <w:color w:val="auto"/>
                <w:sz w:val="24"/>
                <w:highlight w:val="none"/>
              </w:rPr>
              <w:t>0.</w:t>
            </w:r>
            <w:r>
              <w:rPr>
                <w:rFonts w:hint="eastAsia" w:cs="Times New Roman"/>
                <w:color w:val="auto"/>
                <w:sz w:val="24"/>
                <w:highlight w:val="none"/>
                <w:lang w:val="en-US" w:eastAsia="zh-CN"/>
              </w:rPr>
              <w:t>09</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cs="Times New Roman"/>
                <w:color w:val="auto"/>
                <w:sz w:val="24"/>
                <w:szCs w:val="24"/>
                <w:highlight w:val="none"/>
                <w:lang w:val="en-US" w:eastAsia="zh-CN" w:bidi="ar"/>
              </w:rPr>
              <w:t>；第二、三遍采用纯水清洗，废水量取90%计，第二、三遍纯水清洗废水产生量为</w:t>
            </w:r>
            <w:r>
              <w:rPr>
                <w:rFonts w:hint="default" w:ascii="Times New Roman" w:hAnsi="Times New Roman" w:eastAsia="宋体" w:cs="Times New Roman"/>
                <w:color w:val="auto"/>
                <w:sz w:val="24"/>
                <w:highlight w:val="none"/>
              </w:rPr>
              <w:t>0.</w:t>
            </w:r>
            <w:r>
              <w:rPr>
                <w:rFonts w:hint="eastAsia" w:cs="Times New Roman"/>
                <w:color w:val="auto"/>
                <w:sz w:val="24"/>
                <w:highlight w:val="none"/>
                <w:lang w:val="en-US" w:eastAsia="zh-CN"/>
              </w:rPr>
              <w:t>06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val="en-US" w:eastAsia="zh-CN"/>
              </w:rPr>
              <w:t>18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cs="Times New Roman"/>
                <w:color w:val="auto"/>
                <w:sz w:val="24"/>
                <w:highlight w:val="none"/>
                <w:lang w:eastAsia="zh-CN"/>
              </w:rPr>
              <w:t>。</w:t>
            </w:r>
            <w:r>
              <w:rPr>
                <w:rFonts w:hint="eastAsia" w:cs="Times New Roman"/>
                <w:color w:val="auto"/>
                <w:sz w:val="24"/>
                <w:szCs w:val="24"/>
                <w:highlight w:val="none"/>
                <w:lang w:val="en-US" w:eastAsia="zh-CN" w:bidi="ar"/>
              </w:rPr>
              <w:t>实验器皿清洗废水产生量共为</w:t>
            </w:r>
            <w:r>
              <w:rPr>
                <w:rFonts w:hint="default" w:ascii="Times New Roman" w:hAnsi="Times New Roman" w:eastAsia="宋体" w:cs="Times New Roman"/>
                <w:color w:val="auto"/>
                <w:sz w:val="24"/>
                <w:highlight w:val="none"/>
              </w:rPr>
              <w:t>0.</w:t>
            </w:r>
            <w:r>
              <w:rPr>
                <w:rFonts w:hint="eastAsia" w:cs="Times New Roman"/>
                <w:color w:val="auto"/>
                <w:sz w:val="24"/>
                <w:highlight w:val="none"/>
                <w:lang w:val="en-US" w:eastAsia="zh-CN"/>
              </w:rPr>
              <w:t>15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eastAsia" w:eastAsia="宋体" w:cs="Times New Roman"/>
                <w:color w:val="auto"/>
                <w:sz w:val="24"/>
                <w:highlight w:val="none"/>
                <w:lang w:val="en-US" w:eastAsia="zh-CN"/>
              </w:rPr>
              <w:t>45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cs="Times New Roman"/>
                <w:color w:val="auto"/>
                <w:sz w:val="24"/>
                <w:szCs w:val="24"/>
                <w:highlight w:val="none"/>
                <w:lang w:val="en-US" w:eastAsia="zh-CN" w:bidi="ar"/>
              </w:rPr>
              <w:t>，清洗废水作为危险废物采用专用容器收集后，交由有资质的单位处置。</w:t>
            </w:r>
          </w:p>
          <w:p w14:paraId="73F0F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bidi="ar"/>
              </w:rPr>
              <w:t>c.</w:t>
            </w:r>
            <w:r>
              <w:rPr>
                <w:rFonts w:hint="eastAsia" w:cs="Times New Roman"/>
                <w:color w:val="auto"/>
                <w:sz w:val="24"/>
                <w:szCs w:val="24"/>
                <w:highlight w:val="none"/>
                <w:lang w:val="en-US" w:eastAsia="zh-CN" w:bidi="ar"/>
              </w:rPr>
              <w:t>喷淋塔废水：喷淋塔循环水平均每月放空排放一次，每次排放废水约0.4m</w:t>
            </w:r>
            <w:r>
              <w:rPr>
                <w:rFonts w:hint="eastAsia" w:cs="Times New Roman"/>
                <w:color w:val="auto"/>
                <w:sz w:val="24"/>
                <w:szCs w:val="24"/>
                <w:highlight w:val="none"/>
                <w:vertAlign w:val="superscript"/>
                <w:lang w:val="en-US" w:eastAsia="zh-CN" w:bidi="ar"/>
              </w:rPr>
              <w:t>3</w:t>
            </w:r>
            <w:r>
              <w:rPr>
                <w:rFonts w:hint="eastAsia" w:cs="Times New Roman"/>
                <w:color w:val="auto"/>
                <w:sz w:val="24"/>
                <w:szCs w:val="24"/>
                <w:highlight w:val="none"/>
                <w:lang w:val="en-US" w:eastAsia="zh-CN" w:bidi="ar"/>
              </w:rPr>
              <w:t>，4.8m</w:t>
            </w:r>
            <w:r>
              <w:rPr>
                <w:rFonts w:hint="eastAsia" w:cs="Times New Roman"/>
                <w:color w:val="auto"/>
                <w:sz w:val="24"/>
                <w:szCs w:val="24"/>
                <w:highlight w:val="none"/>
                <w:vertAlign w:val="superscript"/>
                <w:lang w:val="en-US" w:eastAsia="zh-CN" w:bidi="ar"/>
              </w:rPr>
              <w:t>3</w:t>
            </w:r>
            <w:r>
              <w:rPr>
                <w:rFonts w:hint="eastAsia" w:cs="Times New Roman"/>
                <w:color w:val="auto"/>
                <w:sz w:val="24"/>
                <w:szCs w:val="24"/>
                <w:highlight w:val="none"/>
                <w:lang w:val="en-US" w:eastAsia="zh-CN" w:bidi="ar"/>
              </w:rPr>
              <w:t>/a。喷淋塔废水作为危险废物采用专用容器收集后，交由有资质的单位处置</w:t>
            </w:r>
            <w:r>
              <w:rPr>
                <w:rFonts w:hint="eastAsia" w:cs="Times New Roman"/>
                <w:color w:val="auto"/>
                <w:sz w:val="24"/>
                <w:szCs w:val="24"/>
                <w:highlight w:val="none"/>
                <w:lang w:val="en-US" w:eastAsia="zh-CN" w:bidi="ar"/>
              </w:rPr>
              <w:t>。</w:t>
            </w:r>
          </w:p>
          <w:p w14:paraId="2A5E0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default" w:ascii="Times New Roman" w:hAnsi="Times New Roman" w:eastAsia="宋体" w:cs="Times New Roman"/>
                <w:color w:val="auto"/>
                <w:sz w:val="24"/>
                <w:szCs w:val="24"/>
                <w:highlight w:val="none"/>
              </w:rPr>
            </w:pPr>
            <w:r>
              <w:rPr>
                <w:rFonts w:hint="eastAsia"/>
                <w:color w:val="auto"/>
                <w:sz w:val="24"/>
                <w:szCs w:val="24"/>
                <w:highlight w:val="none"/>
                <w:lang w:val="en-US" w:eastAsia="zh-CN"/>
              </w:rPr>
              <w:t>项</w:t>
            </w:r>
            <w:r>
              <w:rPr>
                <w:rFonts w:hint="default" w:ascii="Times New Roman" w:hAnsi="Times New Roman" w:eastAsia="宋体" w:cs="Times New Roman"/>
                <w:color w:val="auto"/>
                <w:sz w:val="24"/>
                <w:szCs w:val="24"/>
                <w:highlight w:val="none"/>
              </w:rPr>
              <w:t>目用水、排水情况一览表</w:t>
            </w:r>
            <w:r>
              <w:rPr>
                <w:rFonts w:hint="eastAsia" w:cs="Times New Roman"/>
                <w:color w:val="auto"/>
                <w:sz w:val="24"/>
                <w:szCs w:val="24"/>
                <w:highlight w:val="none"/>
                <w:lang w:val="en-US" w:eastAsia="zh-CN"/>
              </w:rPr>
              <w:t>见表2-6</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水平衡图见图</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p>
          <w:p w14:paraId="79FC9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contextualSpacing/>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w:t>
            </w:r>
            <w:r>
              <w:rPr>
                <w:rFonts w:hint="eastAsia" w:eastAsia="宋体"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rPr>
              <w:t>用水、排水情况一览表</w:t>
            </w:r>
          </w:p>
          <w:tbl>
            <w:tblPr>
              <w:tblStyle w:val="2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919"/>
              <w:gridCol w:w="1085"/>
              <w:gridCol w:w="918"/>
              <w:gridCol w:w="1279"/>
              <w:gridCol w:w="2468"/>
            </w:tblGrid>
            <w:tr w14:paraId="7D232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pct"/>
                  <w:tcBorders>
                    <w:tl2br w:val="nil"/>
                    <w:tr2bl w:val="nil"/>
                  </w:tcBorders>
                  <w:vAlign w:val="center"/>
                </w:tcPr>
                <w:p w14:paraId="1C157E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550" w:type="pct"/>
                  <w:tcBorders>
                    <w:tl2br w:val="nil"/>
                    <w:tr2bl w:val="nil"/>
                  </w:tcBorders>
                  <w:vAlign w:val="center"/>
                </w:tcPr>
                <w:p w14:paraId="354BA2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天数</w:t>
                  </w:r>
                </w:p>
              </w:tc>
              <w:tc>
                <w:tcPr>
                  <w:tcW w:w="649" w:type="pct"/>
                  <w:tcBorders>
                    <w:tl2br w:val="nil"/>
                    <w:tr2bl w:val="nil"/>
                  </w:tcBorders>
                  <w:vAlign w:val="center"/>
                </w:tcPr>
                <w:p w14:paraId="451101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用水量m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tc>
              <w:tc>
                <w:tcPr>
                  <w:tcW w:w="549" w:type="pct"/>
                  <w:tcBorders>
                    <w:tl2br w:val="nil"/>
                    <w:tr2bl w:val="nil"/>
                  </w:tcBorders>
                  <w:vAlign w:val="center"/>
                </w:tcPr>
                <w:p w14:paraId="1316AF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损耗量</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tc>
              <w:tc>
                <w:tcPr>
                  <w:tcW w:w="765" w:type="pct"/>
                  <w:tcBorders>
                    <w:tl2br w:val="nil"/>
                    <w:tr2bl w:val="nil"/>
                  </w:tcBorders>
                  <w:vAlign w:val="center"/>
                </w:tcPr>
                <w:p w14:paraId="6B7E7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废水产生</w:t>
                  </w:r>
                  <w:r>
                    <w:rPr>
                      <w:rFonts w:hint="default" w:ascii="Times New Roman" w:hAnsi="Times New Roman" w:eastAsia="宋体" w:cs="Times New Roman"/>
                      <w:color w:val="auto"/>
                      <w:sz w:val="21"/>
                      <w:szCs w:val="21"/>
                      <w:highlight w:val="none"/>
                    </w:rPr>
                    <w:t>量m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tc>
              <w:tc>
                <w:tcPr>
                  <w:tcW w:w="1476" w:type="pct"/>
                  <w:tcBorders>
                    <w:tl2br w:val="nil"/>
                    <w:tr2bl w:val="nil"/>
                  </w:tcBorders>
                  <w:vAlign w:val="center"/>
                </w:tcPr>
                <w:p w14:paraId="0620C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废水处理措施</w:t>
                  </w:r>
                </w:p>
              </w:tc>
            </w:tr>
            <w:tr w14:paraId="78636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09" w:type="pct"/>
                  <w:tcBorders>
                    <w:tl2br w:val="nil"/>
                    <w:tr2bl w:val="nil"/>
                  </w:tcBorders>
                  <w:vAlign w:val="center"/>
                </w:tcPr>
                <w:p w14:paraId="643E7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生活用水</w:t>
                  </w:r>
                </w:p>
              </w:tc>
              <w:tc>
                <w:tcPr>
                  <w:tcW w:w="550" w:type="pct"/>
                  <w:tcBorders>
                    <w:tl2br w:val="nil"/>
                    <w:tr2bl w:val="nil"/>
                  </w:tcBorders>
                  <w:vAlign w:val="center"/>
                </w:tcPr>
                <w:p w14:paraId="58D19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649" w:type="pct"/>
                  <w:tcBorders>
                    <w:tl2br w:val="nil"/>
                    <w:tr2bl w:val="nil"/>
                  </w:tcBorders>
                  <w:vAlign w:val="center"/>
                </w:tcPr>
                <w:p w14:paraId="1D2FA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2.83</w:t>
                  </w:r>
                </w:p>
              </w:tc>
              <w:tc>
                <w:tcPr>
                  <w:tcW w:w="549" w:type="pct"/>
                  <w:tcBorders>
                    <w:tl2br w:val="nil"/>
                    <w:tr2bl w:val="nil"/>
                  </w:tcBorders>
                  <w:vAlign w:val="center"/>
                </w:tcPr>
                <w:p w14:paraId="5DED4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0.56</w:t>
                  </w:r>
                </w:p>
              </w:tc>
              <w:tc>
                <w:tcPr>
                  <w:tcW w:w="765" w:type="pct"/>
                  <w:tcBorders>
                    <w:tl2br w:val="nil"/>
                    <w:tr2bl w:val="nil"/>
                  </w:tcBorders>
                  <w:vAlign w:val="center"/>
                </w:tcPr>
                <w:p w14:paraId="666C5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2.27</w:t>
                  </w:r>
                </w:p>
              </w:tc>
              <w:tc>
                <w:tcPr>
                  <w:tcW w:w="1476" w:type="pct"/>
                  <w:vMerge w:val="restart"/>
                  <w:tcBorders>
                    <w:tl2br w:val="nil"/>
                    <w:tr2bl w:val="nil"/>
                  </w:tcBorders>
                  <w:vAlign w:val="center"/>
                </w:tcPr>
                <w:p w14:paraId="0E44BB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近期：经</w:t>
                  </w:r>
                  <w:r>
                    <w:rPr>
                      <w:rFonts w:hint="default" w:ascii="Times New Roman" w:hAnsi="Times New Roman" w:eastAsia="宋体" w:cs="Times New Roman"/>
                      <w:color w:val="auto"/>
                      <w:sz w:val="21"/>
                      <w:szCs w:val="21"/>
                      <w:highlight w:val="none"/>
                      <w:lang w:eastAsia="zh-CN"/>
                    </w:rPr>
                    <w:t>化粪池收集</w:t>
                  </w:r>
                  <w:r>
                    <w:rPr>
                      <w:rFonts w:hint="eastAsia" w:cs="Times New Roman"/>
                      <w:color w:val="auto"/>
                      <w:sz w:val="21"/>
                      <w:szCs w:val="21"/>
                      <w:highlight w:val="none"/>
                      <w:lang w:val="en-US" w:eastAsia="zh-CN"/>
                    </w:rPr>
                    <w:t>后</w:t>
                  </w:r>
                  <w:r>
                    <w:rPr>
                      <w:rFonts w:hint="eastAsia"/>
                      <w:color w:val="auto"/>
                      <w:sz w:val="21"/>
                      <w:szCs w:val="21"/>
                      <w:highlight w:val="none"/>
                    </w:rPr>
                    <w:t>排入厂区的污水收集池</w:t>
                  </w:r>
                  <w:r>
                    <w:rPr>
                      <w:rFonts w:hint="eastAsia"/>
                      <w:color w:val="auto"/>
                      <w:sz w:val="21"/>
                      <w:szCs w:val="21"/>
                      <w:highlight w:val="none"/>
                      <w:lang w:eastAsia="zh-CN"/>
                    </w:rPr>
                    <w:t>，</w:t>
                  </w:r>
                  <w:r>
                    <w:rPr>
                      <w:rFonts w:hint="eastAsia"/>
                      <w:color w:val="auto"/>
                      <w:sz w:val="21"/>
                      <w:szCs w:val="21"/>
                      <w:highlight w:val="none"/>
                    </w:rPr>
                    <w:t>定期</w:t>
                  </w:r>
                  <w:r>
                    <w:rPr>
                      <w:rFonts w:hint="eastAsia"/>
                      <w:color w:val="auto"/>
                      <w:sz w:val="21"/>
                      <w:szCs w:val="21"/>
                      <w:highlight w:val="none"/>
                      <w:lang w:val="en-US" w:eastAsia="zh-CN"/>
                    </w:rPr>
                    <w:t>由</w:t>
                  </w:r>
                  <w:r>
                    <w:rPr>
                      <w:rFonts w:hint="eastAsia"/>
                      <w:color w:val="auto"/>
                      <w:sz w:val="21"/>
                      <w:szCs w:val="21"/>
                      <w:highlight w:val="none"/>
                    </w:rPr>
                    <w:t>槽车拉运至沣西新城大王污水处理厂处理</w:t>
                  </w:r>
                  <w:r>
                    <w:rPr>
                      <w:rFonts w:hint="eastAsia"/>
                      <w:color w:val="auto"/>
                      <w:sz w:val="21"/>
                      <w:szCs w:val="21"/>
                      <w:highlight w:val="none"/>
                      <w:lang w:eastAsia="zh-CN"/>
                    </w:rPr>
                    <w:t>。</w:t>
                  </w:r>
                </w:p>
                <w:p w14:paraId="18BF3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远期：经</w:t>
                  </w:r>
                  <w:r>
                    <w:rPr>
                      <w:rFonts w:hint="default" w:ascii="Times New Roman" w:hAnsi="Times New Roman" w:eastAsia="宋体" w:cs="Times New Roman"/>
                      <w:color w:val="auto"/>
                      <w:sz w:val="21"/>
                      <w:szCs w:val="21"/>
                      <w:highlight w:val="none"/>
                      <w:lang w:eastAsia="zh-CN"/>
                    </w:rPr>
                    <w:t>化粪池收集</w:t>
                  </w:r>
                  <w:r>
                    <w:rPr>
                      <w:rFonts w:hint="eastAsia" w:cs="Times New Roman"/>
                      <w:color w:val="auto"/>
                      <w:sz w:val="21"/>
                      <w:szCs w:val="21"/>
                      <w:highlight w:val="none"/>
                      <w:lang w:val="en-US" w:eastAsia="zh-CN"/>
                    </w:rPr>
                    <w:t>后经市政管网排入沣西新城大王污水处理厂深度处理</w:t>
                  </w:r>
                  <w:r>
                    <w:rPr>
                      <w:rFonts w:hint="eastAsia"/>
                      <w:color w:val="auto"/>
                      <w:sz w:val="21"/>
                      <w:szCs w:val="21"/>
                      <w:highlight w:val="none"/>
                      <w:lang w:eastAsia="zh-CN"/>
                    </w:rPr>
                    <w:t>。</w:t>
                  </w:r>
                </w:p>
              </w:tc>
            </w:tr>
            <w:tr w14:paraId="47DF8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09" w:type="pct"/>
                  <w:tcBorders>
                    <w:tl2br w:val="nil"/>
                    <w:tr2bl w:val="nil"/>
                  </w:tcBorders>
                  <w:vAlign w:val="center"/>
                </w:tcPr>
                <w:p w14:paraId="6BADF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
                    </w:rPr>
                    <w:t>设备冷却用水</w:t>
                  </w:r>
                </w:p>
              </w:tc>
              <w:tc>
                <w:tcPr>
                  <w:tcW w:w="550" w:type="pct"/>
                  <w:tcBorders>
                    <w:tl2br w:val="nil"/>
                    <w:tr2bl w:val="nil"/>
                  </w:tcBorders>
                  <w:vAlign w:val="center"/>
                </w:tcPr>
                <w:p w14:paraId="3ECA29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649" w:type="pct"/>
                  <w:tcBorders>
                    <w:tl2br w:val="nil"/>
                    <w:tr2bl w:val="nil"/>
                  </w:tcBorders>
                  <w:vAlign w:val="center"/>
                </w:tcPr>
                <w:p w14:paraId="55D12B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549" w:type="pct"/>
                  <w:tcBorders>
                    <w:tl2br w:val="nil"/>
                    <w:tr2bl w:val="nil"/>
                  </w:tcBorders>
                  <w:vAlign w:val="center"/>
                </w:tcPr>
                <w:p w14:paraId="28F9D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65" w:type="pct"/>
                  <w:tcBorders>
                    <w:tl2br w:val="nil"/>
                    <w:tr2bl w:val="nil"/>
                  </w:tcBorders>
                  <w:vAlign w:val="center"/>
                </w:tcPr>
                <w:p w14:paraId="72D41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0.67</w:t>
                  </w:r>
                </w:p>
              </w:tc>
              <w:tc>
                <w:tcPr>
                  <w:tcW w:w="1476" w:type="pct"/>
                  <w:vMerge w:val="continue"/>
                  <w:tcBorders>
                    <w:tl2br w:val="nil"/>
                    <w:tr2bl w:val="nil"/>
                  </w:tcBorders>
                  <w:vAlign w:val="center"/>
                </w:tcPr>
                <w:p w14:paraId="44104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7AFE7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09" w:type="pct"/>
                  <w:tcBorders>
                    <w:tl2br w:val="nil"/>
                    <w:tr2bl w:val="nil"/>
                  </w:tcBorders>
                  <w:vAlign w:val="center"/>
                </w:tcPr>
                <w:p w14:paraId="78936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
                    </w:rPr>
                    <w:t>切削液配比用水</w:t>
                  </w:r>
                </w:p>
              </w:tc>
              <w:tc>
                <w:tcPr>
                  <w:tcW w:w="550" w:type="pct"/>
                  <w:tcBorders>
                    <w:tl2br w:val="nil"/>
                    <w:tr2bl w:val="nil"/>
                  </w:tcBorders>
                  <w:vAlign w:val="center"/>
                </w:tcPr>
                <w:p w14:paraId="3011A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649" w:type="pct"/>
                  <w:tcBorders>
                    <w:tl2br w:val="nil"/>
                    <w:tr2bl w:val="nil"/>
                  </w:tcBorders>
                  <w:vAlign w:val="center"/>
                </w:tcPr>
                <w:p w14:paraId="2BCC6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0.027</w:t>
                  </w:r>
                </w:p>
              </w:tc>
              <w:tc>
                <w:tcPr>
                  <w:tcW w:w="549" w:type="pct"/>
                  <w:tcBorders>
                    <w:tl2br w:val="nil"/>
                    <w:tr2bl w:val="nil"/>
                  </w:tcBorders>
                  <w:vAlign w:val="center"/>
                </w:tcPr>
                <w:p w14:paraId="635A5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65" w:type="pct"/>
                  <w:tcBorders>
                    <w:tl2br w:val="nil"/>
                    <w:tr2bl w:val="nil"/>
                  </w:tcBorders>
                  <w:vAlign w:val="center"/>
                </w:tcPr>
                <w:p w14:paraId="6DD225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476" w:type="pct"/>
                  <w:tcBorders>
                    <w:tl2br w:val="nil"/>
                    <w:tr2bl w:val="nil"/>
                  </w:tcBorders>
                  <w:vAlign w:val="center"/>
                </w:tcPr>
                <w:p w14:paraId="76E03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B3C3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09" w:type="pct"/>
                  <w:tcBorders>
                    <w:tl2br w:val="nil"/>
                    <w:tr2bl w:val="nil"/>
                  </w:tcBorders>
                  <w:vAlign w:val="center"/>
                </w:tcPr>
                <w:p w14:paraId="68CEF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
                    </w:rPr>
                    <w:t>切割用水</w:t>
                  </w:r>
                </w:p>
              </w:tc>
              <w:tc>
                <w:tcPr>
                  <w:tcW w:w="550" w:type="pct"/>
                  <w:tcBorders>
                    <w:tl2br w:val="nil"/>
                    <w:tr2bl w:val="nil"/>
                  </w:tcBorders>
                  <w:vAlign w:val="center"/>
                </w:tcPr>
                <w:p w14:paraId="5DE6AF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649" w:type="pct"/>
                  <w:tcBorders>
                    <w:tl2br w:val="nil"/>
                    <w:tr2bl w:val="nil"/>
                  </w:tcBorders>
                  <w:vAlign w:val="center"/>
                </w:tcPr>
                <w:p w14:paraId="4A117F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2</w:t>
                  </w:r>
                </w:p>
              </w:tc>
              <w:tc>
                <w:tcPr>
                  <w:tcW w:w="549" w:type="pct"/>
                  <w:tcBorders>
                    <w:tl2br w:val="nil"/>
                    <w:tr2bl w:val="nil"/>
                  </w:tcBorders>
                  <w:vAlign w:val="center"/>
                </w:tcPr>
                <w:p w14:paraId="1D2A6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65" w:type="pct"/>
                  <w:tcBorders>
                    <w:tl2br w:val="nil"/>
                    <w:tr2bl w:val="nil"/>
                  </w:tcBorders>
                  <w:vAlign w:val="center"/>
                </w:tcPr>
                <w:p w14:paraId="5E9EAB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76" w:type="pct"/>
                  <w:tcBorders>
                    <w:tl2br w:val="nil"/>
                    <w:tr2bl w:val="nil"/>
                  </w:tcBorders>
                  <w:vAlign w:val="center"/>
                </w:tcPr>
                <w:p w14:paraId="2351DA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2770E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09" w:type="pct"/>
                  <w:tcBorders>
                    <w:tl2br w:val="nil"/>
                    <w:tr2bl w:val="nil"/>
                  </w:tcBorders>
                  <w:vAlign w:val="center"/>
                </w:tcPr>
                <w:p w14:paraId="3DA34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实验器皿第一遍清洗用水</w:t>
                  </w:r>
                </w:p>
              </w:tc>
              <w:tc>
                <w:tcPr>
                  <w:tcW w:w="550" w:type="pct"/>
                  <w:tcBorders>
                    <w:tl2br w:val="nil"/>
                    <w:tr2bl w:val="nil"/>
                  </w:tcBorders>
                  <w:vAlign w:val="center"/>
                </w:tcPr>
                <w:p w14:paraId="1B2D0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649" w:type="pct"/>
                  <w:tcBorders>
                    <w:tl2br w:val="nil"/>
                    <w:tr2bl w:val="nil"/>
                  </w:tcBorders>
                  <w:vAlign w:val="center"/>
                </w:tcPr>
                <w:p w14:paraId="3BB49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549" w:type="pct"/>
                  <w:tcBorders>
                    <w:tl2br w:val="nil"/>
                    <w:tr2bl w:val="nil"/>
                  </w:tcBorders>
                  <w:vAlign w:val="center"/>
                </w:tcPr>
                <w:p w14:paraId="64C38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65" w:type="pct"/>
                  <w:tcBorders>
                    <w:tl2br w:val="nil"/>
                    <w:tr2bl w:val="nil"/>
                  </w:tcBorders>
                  <w:vAlign w:val="center"/>
                </w:tcPr>
                <w:p w14:paraId="02B345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w:t>
                  </w:r>
                </w:p>
              </w:tc>
              <w:tc>
                <w:tcPr>
                  <w:tcW w:w="1476" w:type="pct"/>
                  <w:vMerge w:val="restart"/>
                  <w:tcBorders>
                    <w:tl2br w:val="nil"/>
                    <w:tr2bl w:val="nil"/>
                  </w:tcBorders>
                  <w:vAlign w:val="center"/>
                </w:tcPr>
                <w:p w14:paraId="0C11B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
                    </w:rPr>
                    <w:t>清洗废水作为危险废物采用专用容器收集后，交由有资质的单位处置</w:t>
                  </w:r>
                </w:p>
              </w:tc>
            </w:tr>
            <w:tr w14:paraId="6B65D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09" w:type="pct"/>
                  <w:tcBorders>
                    <w:tl2br w:val="nil"/>
                    <w:tr2bl w:val="nil"/>
                  </w:tcBorders>
                  <w:vAlign w:val="center"/>
                </w:tcPr>
                <w:p w14:paraId="6BB3E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实验器皿第二、三遍清洗用水（纯水）</w:t>
                  </w:r>
                </w:p>
              </w:tc>
              <w:tc>
                <w:tcPr>
                  <w:tcW w:w="550" w:type="pct"/>
                  <w:tcBorders>
                    <w:tl2br w:val="nil"/>
                    <w:tr2bl w:val="nil"/>
                  </w:tcBorders>
                  <w:vAlign w:val="center"/>
                </w:tcPr>
                <w:p w14:paraId="4C42D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649" w:type="pct"/>
                  <w:tcBorders>
                    <w:tl2br w:val="nil"/>
                    <w:tr2bl w:val="nil"/>
                  </w:tcBorders>
                  <w:vAlign w:val="center"/>
                </w:tcPr>
                <w:p w14:paraId="2A2091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0.067</w:t>
                  </w:r>
                </w:p>
              </w:tc>
              <w:tc>
                <w:tcPr>
                  <w:tcW w:w="549" w:type="pct"/>
                  <w:tcBorders>
                    <w:tl2br w:val="nil"/>
                    <w:tr2bl w:val="nil"/>
                  </w:tcBorders>
                  <w:vAlign w:val="center"/>
                </w:tcPr>
                <w:p w14:paraId="347B6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0.007</w:t>
                  </w:r>
                </w:p>
              </w:tc>
              <w:tc>
                <w:tcPr>
                  <w:tcW w:w="765" w:type="pct"/>
                  <w:tcBorders>
                    <w:tl2br w:val="nil"/>
                    <w:tr2bl w:val="nil"/>
                  </w:tcBorders>
                  <w:vAlign w:val="center"/>
                </w:tcPr>
                <w:p w14:paraId="7B07C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w:t>
                  </w:r>
                </w:p>
              </w:tc>
              <w:tc>
                <w:tcPr>
                  <w:tcW w:w="1476" w:type="pct"/>
                  <w:vMerge w:val="continue"/>
                  <w:tcBorders>
                    <w:tl2br w:val="nil"/>
                    <w:tr2bl w:val="nil"/>
                  </w:tcBorders>
                  <w:vAlign w:val="center"/>
                </w:tcPr>
                <w:p w14:paraId="072C6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32995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09" w:type="pct"/>
                  <w:tcBorders>
                    <w:tl2br w:val="nil"/>
                    <w:tr2bl w:val="nil"/>
                  </w:tcBorders>
                  <w:vAlign w:val="center"/>
                </w:tcPr>
                <w:p w14:paraId="749D5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标准溶液配制用水（纯水）</w:t>
                  </w:r>
                </w:p>
              </w:tc>
              <w:tc>
                <w:tcPr>
                  <w:tcW w:w="550" w:type="pct"/>
                  <w:tcBorders>
                    <w:tl2br w:val="nil"/>
                    <w:tr2bl w:val="nil"/>
                  </w:tcBorders>
                  <w:vAlign w:val="center"/>
                </w:tcPr>
                <w:p w14:paraId="6D779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649" w:type="pct"/>
                  <w:tcBorders>
                    <w:tl2br w:val="nil"/>
                    <w:tr2bl w:val="nil"/>
                  </w:tcBorders>
                  <w:vAlign w:val="center"/>
                </w:tcPr>
                <w:p w14:paraId="13F40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549" w:type="pct"/>
                  <w:tcBorders>
                    <w:tl2br w:val="nil"/>
                    <w:tr2bl w:val="nil"/>
                  </w:tcBorders>
                  <w:vAlign w:val="center"/>
                </w:tcPr>
                <w:p w14:paraId="2B931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65" w:type="pct"/>
                  <w:tcBorders>
                    <w:tl2br w:val="nil"/>
                    <w:tr2bl w:val="nil"/>
                  </w:tcBorders>
                  <w:vAlign w:val="center"/>
                </w:tcPr>
                <w:p w14:paraId="7D340C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476" w:type="pct"/>
                  <w:tcBorders>
                    <w:tl2br w:val="nil"/>
                    <w:tr2bl w:val="nil"/>
                  </w:tcBorders>
                  <w:vAlign w:val="center"/>
                </w:tcPr>
                <w:p w14:paraId="4631F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53AEA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09" w:type="pct"/>
                  <w:tcBorders>
                    <w:tl2br w:val="nil"/>
                    <w:tr2bl w:val="nil"/>
                  </w:tcBorders>
                  <w:vAlign w:val="center"/>
                </w:tcPr>
                <w:p w14:paraId="541772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喷淋塔用水</w:t>
                  </w:r>
                </w:p>
              </w:tc>
              <w:tc>
                <w:tcPr>
                  <w:tcW w:w="550" w:type="pct"/>
                  <w:tcBorders>
                    <w:tl2br w:val="nil"/>
                    <w:tr2bl w:val="nil"/>
                  </w:tcBorders>
                  <w:vAlign w:val="center"/>
                </w:tcPr>
                <w:p w14:paraId="5F5DE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649" w:type="pct"/>
                  <w:tcBorders>
                    <w:tl2br w:val="nil"/>
                    <w:tr2bl w:val="nil"/>
                  </w:tcBorders>
                  <w:vAlign w:val="center"/>
                </w:tcPr>
                <w:p w14:paraId="278CE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0.096</w:t>
                  </w:r>
                </w:p>
              </w:tc>
              <w:tc>
                <w:tcPr>
                  <w:tcW w:w="549" w:type="pct"/>
                  <w:tcBorders>
                    <w:tl2br w:val="nil"/>
                    <w:tr2bl w:val="nil"/>
                  </w:tcBorders>
                  <w:vAlign w:val="center"/>
                </w:tcPr>
                <w:p w14:paraId="1CAB1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w:t>
                  </w:r>
                </w:p>
              </w:tc>
              <w:tc>
                <w:tcPr>
                  <w:tcW w:w="765" w:type="pct"/>
                  <w:tcBorders>
                    <w:tl2br w:val="nil"/>
                    <w:tr2bl w:val="nil"/>
                  </w:tcBorders>
                  <w:vAlign w:val="center"/>
                </w:tcPr>
                <w:p w14:paraId="7D568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0.016</w:t>
                  </w:r>
                </w:p>
              </w:tc>
              <w:tc>
                <w:tcPr>
                  <w:tcW w:w="1476" w:type="pct"/>
                  <w:tcBorders>
                    <w:tl2br w:val="nil"/>
                    <w:tr2bl w:val="nil"/>
                  </w:tcBorders>
                  <w:vAlign w:val="center"/>
                </w:tcPr>
                <w:p w14:paraId="3C2B69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
                    </w:rPr>
                    <w:t>作为危险废物采用专用容器收集后，交由有资质的单位处置</w:t>
                  </w:r>
                </w:p>
              </w:tc>
            </w:tr>
          </w:tbl>
          <w:p w14:paraId="1C815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contextualSpacing/>
              <w:jc w:val="center"/>
              <w:textAlignment w:val="auto"/>
              <w:rPr>
                <w:rFonts w:hint="default" w:ascii="Times New Roman" w:hAnsi="Times New Roman" w:eastAsia="宋体" w:cs="Times New Roman"/>
                <w:b/>
                <w:color w:val="auto"/>
                <w:sz w:val="21"/>
                <w:szCs w:val="21"/>
                <w:highlight w:val="none"/>
              </w:rPr>
            </w:pPr>
          </w:p>
          <w:p w14:paraId="598B9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contextualSpacing/>
              <w:jc w:val="center"/>
              <w:textAlignment w:val="auto"/>
              <w:rPr>
                <w:rFonts w:hint="default" w:ascii="Times New Roman" w:hAnsi="Times New Roman" w:eastAsia="宋体" w:cs="Times New Roman"/>
                <w:b/>
                <w:bCs w:val="0"/>
                <w:color w:val="auto"/>
                <w:sz w:val="21"/>
                <w:szCs w:val="21"/>
                <w:highlight w:val="none"/>
              </w:rPr>
            </w:pPr>
            <w:r>
              <w:rPr>
                <w:rFonts w:hint="eastAsia"/>
                <w:color w:val="auto"/>
                <w:highlight w:val="none"/>
                <w:lang w:val="en-US" w:eastAsia="zh-CN"/>
              </w:rPr>
              <w:drawing>
                <wp:inline distT="0" distB="0" distL="114300" distR="114300">
                  <wp:extent cx="5405755" cy="3947160"/>
                  <wp:effectExtent l="0" t="0" r="0" b="0"/>
                  <wp:docPr id="4" name="ECB019B1-382A-4266-B25C-5B523AA43C14-1" descr="C:/Users/lenovo/AppData/Local/Temp/wps.tvaBZ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C:/Users/lenovo/AppData/Local/Temp/wps.tvaBZswps"/>
                          <pic:cNvPicPr>
                            <a:picLocks noChangeAspect="1"/>
                          </pic:cNvPicPr>
                        </pic:nvPicPr>
                        <pic:blipFill>
                          <a:blip r:embed="rId8"/>
                          <a:stretch>
                            <a:fillRect/>
                          </a:stretch>
                        </pic:blipFill>
                        <pic:spPr>
                          <a:xfrm>
                            <a:off x="0" y="0"/>
                            <a:ext cx="5405755" cy="3947160"/>
                          </a:xfrm>
                          <a:prstGeom prst="rect">
                            <a:avLst/>
                          </a:prstGeom>
                        </pic:spPr>
                      </pic:pic>
                    </a:graphicData>
                  </a:graphic>
                </wp:inline>
              </w:drawing>
            </w:r>
          </w:p>
          <w:p w14:paraId="4262E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rPr>
              <w:t>图</w:t>
            </w:r>
            <w:r>
              <w:rPr>
                <w:rFonts w:hint="default" w:ascii="Times New Roman" w:hAnsi="Times New Roman" w:eastAsia="宋体" w:cs="Times New Roman"/>
                <w:b/>
                <w:bCs w:val="0"/>
                <w:color w:val="auto"/>
                <w:sz w:val="21"/>
                <w:szCs w:val="21"/>
                <w:highlight w:val="none"/>
                <w:lang w:val="en-US" w:eastAsia="zh-CN"/>
              </w:rPr>
              <w:t>2-</w:t>
            </w:r>
            <w:r>
              <w:rPr>
                <w:rFonts w:hint="default" w:ascii="Times New Roman" w:hAnsi="Times New Roman" w:eastAsia="宋体" w:cs="Times New Roman"/>
                <w:b/>
                <w:bCs w:val="0"/>
                <w:color w:val="auto"/>
                <w:sz w:val="21"/>
                <w:szCs w:val="21"/>
                <w:highlight w:val="none"/>
              </w:rPr>
              <w:t>1  项目水平衡图   单位：</w:t>
            </w:r>
            <w:r>
              <w:rPr>
                <w:rFonts w:hint="default" w:ascii="Times New Roman" w:hAnsi="Times New Roman" w:eastAsia="宋体" w:cs="Times New Roman"/>
                <w:b/>
                <w:bCs w:val="0"/>
                <w:color w:val="auto"/>
                <w:kern w:val="0"/>
                <w:sz w:val="21"/>
                <w:szCs w:val="21"/>
                <w:highlight w:val="none"/>
              </w:rPr>
              <w:t>m</w:t>
            </w:r>
            <w:r>
              <w:rPr>
                <w:rFonts w:hint="default" w:ascii="Times New Roman" w:hAnsi="Times New Roman" w:eastAsia="宋体" w:cs="Times New Roman"/>
                <w:b/>
                <w:bCs w:val="0"/>
                <w:color w:val="auto"/>
                <w:kern w:val="0"/>
                <w:sz w:val="21"/>
                <w:szCs w:val="21"/>
                <w:highlight w:val="none"/>
                <w:vertAlign w:val="superscript"/>
              </w:rPr>
              <w:t>3</w:t>
            </w:r>
            <w:r>
              <w:rPr>
                <w:rFonts w:hint="default" w:ascii="Times New Roman" w:hAnsi="Times New Roman" w:eastAsia="宋体" w:cs="Times New Roman"/>
                <w:b/>
                <w:bCs w:val="0"/>
                <w:color w:val="auto"/>
                <w:sz w:val="21"/>
                <w:szCs w:val="21"/>
                <w:highlight w:val="none"/>
              </w:rPr>
              <w:t>/d</w:t>
            </w:r>
          </w:p>
          <w:p w14:paraId="28B0A3C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供电</w:t>
            </w:r>
          </w:p>
          <w:p w14:paraId="5FF83DB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项目用电</w:t>
            </w:r>
            <w:r>
              <w:rPr>
                <w:rFonts w:hint="default" w:ascii="Times New Roman" w:hAnsi="Times New Roman" w:eastAsia="宋体" w:cs="Times New Roman"/>
                <w:color w:val="auto"/>
                <w:sz w:val="24"/>
                <w:szCs w:val="24"/>
                <w:highlight w:val="none"/>
                <w:lang w:val="en-US" w:eastAsia="zh-CN"/>
              </w:rPr>
              <w:t>依托当地供电系统</w:t>
            </w:r>
            <w:r>
              <w:rPr>
                <w:rFonts w:hint="default" w:ascii="Times New Roman" w:hAnsi="Times New Roman" w:eastAsia="宋体" w:cs="Times New Roman"/>
                <w:color w:val="auto"/>
                <w:sz w:val="24"/>
                <w:szCs w:val="24"/>
                <w:highlight w:val="none"/>
              </w:rPr>
              <w:t>。</w:t>
            </w:r>
          </w:p>
          <w:p w14:paraId="6C2D15C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供热</w:t>
            </w:r>
          </w:p>
          <w:p w14:paraId="1DA49D9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项目办公</w:t>
            </w:r>
            <w:r>
              <w:rPr>
                <w:rFonts w:hint="default" w:ascii="Times New Roman" w:hAnsi="Times New Roman" w:eastAsia="宋体" w:cs="Times New Roman"/>
                <w:color w:val="auto"/>
                <w:sz w:val="24"/>
                <w:szCs w:val="24"/>
                <w:highlight w:val="none"/>
                <w:lang w:val="en-US" w:eastAsia="zh-CN"/>
              </w:rPr>
              <w:t>室</w:t>
            </w:r>
            <w:r>
              <w:rPr>
                <w:rFonts w:hint="default" w:ascii="Times New Roman" w:hAnsi="Times New Roman" w:eastAsia="宋体" w:cs="Times New Roman"/>
                <w:color w:val="auto"/>
                <w:sz w:val="24"/>
                <w:szCs w:val="24"/>
                <w:highlight w:val="none"/>
              </w:rPr>
              <w:t>冬季供热、夏季制冷采用分体式空调。</w:t>
            </w:r>
          </w:p>
          <w:p w14:paraId="7B23ED4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eastAsia" w:cs="Times New Roman"/>
                <w:b/>
                <w:color w:val="auto"/>
                <w:sz w:val="24"/>
                <w:highlight w:val="none"/>
                <w:lang w:val="en-US" w:eastAsia="zh-CN"/>
              </w:rPr>
              <w:t>10</w:t>
            </w:r>
            <w:r>
              <w:rPr>
                <w:rFonts w:hint="default" w:ascii="Times New Roman" w:hAnsi="Times New Roman" w:eastAsia="宋体" w:cs="Times New Roman"/>
                <w:b/>
                <w:color w:val="auto"/>
                <w:sz w:val="24"/>
                <w:highlight w:val="none"/>
              </w:rPr>
              <w:t>、平面布置合理性分析</w:t>
            </w:r>
          </w:p>
          <w:p w14:paraId="4F88B82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szCs w:val="24"/>
                <w:highlight w:val="none"/>
                <w:lang w:val="en-US" w:eastAsia="zh-CN"/>
              </w:rPr>
              <w:t>本项目</w:t>
            </w:r>
            <w:r>
              <w:rPr>
                <w:rFonts w:hint="default" w:ascii="Times New Roman" w:hAnsi="Times New Roman" w:eastAsia="Times New Roman" w:cs="Times New Roman"/>
                <w:color w:val="auto"/>
                <w:sz w:val="24"/>
                <w:szCs w:val="24"/>
                <w:highlight w:val="none"/>
              </w:rPr>
              <w:t>1</w:t>
            </w:r>
            <w:r>
              <w:rPr>
                <w:rFonts w:hint="eastAsia" w:eastAsia="宋体" w:cs="Times New Roman"/>
                <w:color w:val="auto"/>
                <w:sz w:val="24"/>
                <w:szCs w:val="24"/>
                <w:highlight w:val="none"/>
                <w:lang w:val="en-US" w:eastAsia="zh-CN"/>
              </w:rPr>
              <w:t>号厂房</w:t>
            </w:r>
            <w:r>
              <w:rPr>
                <w:rFonts w:hint="default" w:ascii="Times New Roman" w:hAnsi="Times New Roman" w:eastAsia="宋体" w:cs="Times New Roman"/>
                <w:color w:val="auto"/>
                <w:sz w:val="24"/>
                <w:szCs w:val="24"/>
                <w:highlight w:val="none"/>
                <w:lang w:val="en-US" w:eastAsia="zh-CN"/>
              </w:rPr>
              <w:t>位于厂区北部区域，</w:t>
            </w:r>
            <w:r>
              <w:rPr>
                <w:rFonts w:hint="eastAsia" w:cs="Times New Roman"/>
                <w:color w:val="auto"/>
                <w:sz w:val="24"/>
                <w:szCs w:val="24"/>
                <w:highlight w:val="none"/>
                <w:lang w:val="en-US" w:eastAsia="zh-CN"/>
              </w:rPr>
              <w:t>用于钛合金熔炼铸锭及铸锭加工；2</w:t>
            </w:r>
            <w:r>
              <w:rPr>
                <w:rFonts w:hint="eastAsia" w:eastAsia="宋体" w:cs="Times New Roman"/>
                <w:color w:val="auto"/>
                <w:sz w:val="24"/>
                <w:szCs w:val="24"/>
                <w:highlight w:val="none"/>
                <w:lang w:val="en-US" w:eastAsia="zh-CN"/>
              </w:rPr>
              <w:t>号厂房</w:t>
            </w:r>
            <w:r>
              <w:rPr>
                <w:rFonts w:hint="default" w:ascii="Times New Roman" w:hAnsi="Times New Roman" w:eastAsia="宋体" w:cs="Times New Roman"/>
                <w:color w:val="auto"/>
                <w:sz w:val="24"/>
                <w:szCs w:val="24"/>
                <w:highlight w:val="none"/>
                <w:lang w:val="en-US" w:eastAsia="zh-CN"/>
              </w:rPr>
              <w:t>位于</w:t>
            </w:r>
            <w:r>
              <w:rPr>
                <w:rFonts w:hint="eastAsia" w:cs="Times New Roman"/>
                <w:color w:val="auto"/>
                <w:sz w:val="24"/>
                <w:szCs w:val="24"/>
                <w:highlight w:val="none"/>
                <w:lang w:val="en-US" w:eastAsia="zh-CN"/>
              </w:rPr>
              <w:t>厂区西南侧，用于金属材料样品预处理加工；</w:t>
            </w:r>
            <w:r>
              <w:rPr>
                <w:rFonts w:hint="default" w:ascii="Times New Roman" w:hAnsi="Times New Roman" w:eastAsia="宋体" w:cs="Times New Roman"/>
                <w:color w:val="auto"/>
                <w:sz w:val="24"/>
                <w:szCs w:val="24"/>
                <w:highlight w:val="none"/>
                <w:lang w:val="en-US" w:eastAsia="zh-CN"/>
              </w:rPr>
              <w:t>科研实验楼位于</w:t>
            </w:r>
            <w:r>
              <w:rPr>
                <w:rFonts w:hint="eastAsia" w:cs="Times New Roman"/>
                <w:color w:val="auto"/>
                <w:sz w:val="24"/>
                <w:szCs w:val="24"/>
                <w:highlight w:val="none"/>
                <w:lang w:val="en-US" w:eastAsia="zh-CN"/>
              </w:rPr>
              <w:t>2</w:t>
            </w:r>
            <w:r>
              <w:rPr>
                <w:rFonts w:hint="eastAsia" w:eastAsia="宋体" w:cs="Times New Roman"/>
                <w:color w:val="auto"/>
                <w:sz w:val="24"/>
                <w:szCs w:val="24"/>
                <w:highlight w:val="none"/>
                <w:lang w:val="en-US" w:eastAsia="zh-CN"/>
              </w:rPr>
              <w:t>号厂房</w:t>
            </w:r>
            <w:r>
              <w:rPr>
                <w:rFonts w:hint="eastAsia" w:cs="Times New Roman"/>
                <w:color w:val="auto"/>
                <w:sz w:val="24"/>
                <w:szCs w:val="24"/>
                <w:highlight w:val="none"/>
                <w:lang w:val="en-US" w:eastAsia="zh-CN"/>
              </w:rPr>
              <w:t>东</w:t>
            </w:r>
            <w:r>
              <w:rPr>
                <w:rFonts w:hint="default" w:ascii="Times New Roman" w:hAnsi="Times New Roman" w:eastAsia="宋体" w:cs="Times New Roman"/>
                <w:color w:val="auto"/>
                <w:sz w:val="24"/>
                <w:szCs w:val="24"/>
                <w:highlight w:val="none"/>
                <w:lang w:val="en-US" w:eastAsia="zh-CN"/>
              </w:rPr>
              <w:t>侧</w:t>
            </w:r>
            <w:r>
              <w:rPr>
                <w:rFonts w:hint="eastAsia" w:cs="Times New Roman"/>
                <w:color w:val="auto"/>
                <w:sz w:val="24"/>
                <w:szCs w:val="24"/>
                <w:highlight w:val="none"/>
                <w:lang w:val="en-US" w:eastAsia="zh-CN"/>
              </w:rPr>
              <w:t>，用于铸锭化学元素分析及力学性能检测</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平</w:t>
            </w:r>
            <w:r>
              <w:rPr>
                <w:rFonts w:hint="default" w:ascii="Times New Roman" w:hAnsi="Times New Roman" w:eastAsia="宋体" w:cs="Times New Roman"/>
                <w:color w:val="auto"/>
                <w:sz w:val="24"/>
                <w:szCs w:val="24"/>
                <w:highlight w:val="none"/>
              </w:rPr>
              <w:t>面布置功能分区明确，工艺流程顺畅，交通运输顺畅。</w:t>
            </w:r>
            <w:r>
              <w:rPr>
                <w:rFonts w:hint="eastAsia" w:cs="Times New Roman"/>
                <w:color w:val="auto"/>
                <w:sz w:val="24"/>
                <w:szCs w:val="24"/>
                <w:highlight w:val="none"/>
                <w:lang w:eastAsia="zh-CN"/>
              </w:rPr>
              <w:t>各设备按照工艺流程进行布置，使生产过程更加顺畅</w:t>
            </w:r>
            <w:r>
              <w:rPr>
                <w:rFonts w:hint="eastAsia" w:cs="Times New Roman"/>
                <w:color w:val="auto"/>
                <w:sz w:val="24"/>
                <w:highlight w:val="none"/>
                <w:lang w:eastAsia="zh-CN"/>
              </w:rPr>
              <w:t>，节约时间，提高效率。因此，本项目总平面布置合理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highlight w:val="none"/>
              </w:rPr>
              <w:t>具体</w:t>
            </w:r>
            <w:r>
              <w:rPr>
                <w:rFonts w:hint="default" w:ascii="Times New Roman" w:hAnsi="Times New Roman" w:eastAsia="宋体" w:cs="Times New Roman"/>
                <w:color w:val="auto"/>
                <w:kern w:val="0"/>
                <w:sz w:val="24"/>
                <w:highlight w:val="none"/>
                <w:lang w:val="en-US" w:eastAsia="zh-CN"/>
              </w:rPr>
              <w:t>总</w:t>
            </w:r>
            <w:r>
              <w:rPr>
                <w:rFonts w:hint="default" w:ascii="Times New Roman" w:hAnsi="Times New Roman" w:eastAsia="宋体" w:cs="Times New Roman"/>
                <w:color w:val="auto"/>
                <w:kern w:val="0"/>
                <w:sz w:val="24"/>
                <w:highlight w:val="none"/>
              </w:rPr>
              <w:t>平面布置见附图</w:t>
            </w:r>
            <w:r>
              <w:rPr>
                <w:rFonts w:hint="default" w:ascii="Times New Roman" w:hAnsi="Times New Roman" w:eastAsia="宋体" w:cs="Times New Roman"/>
                <w:color w:val="auto"/>
                <w:sz w:val="24"/>
                <w:highlight w:val="none"/>
              </w:rPr>
              <w:t>。</w:t>
            </w:r>
          </w:p>
        </w:tc>
      </w:tr>
      <w:tr w14:paraId="5BFE5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52" w:type="dxa"/>
            <w:noWrap w:val="0"/>
            <w:vAlign w:val="center"/>
          </w:tcPr>
          <w:p w14:paraId="697A94BF">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工艺流程和产排污环节</w:t>
            </w:r>
          </w:p>
        </w:tc>
        <w:tc>
          <w:tcPr>
            <w:tcW w:w="8608" w:type="dxa"/>
            <w:noWrap w:val="0"/>
            <w:vAlign w:val="top"/>
          </w:tcPr>
          <w:p w14:paraId="4A701ED7">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、施工期</w:t>
            </w:r>
          </w:p>
          <w:p w14:paraId="50C80B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本项目施工期主要是厂区的厂房建设和配套的基础设施建设，施工期基本工艺流程及排污节点见</w:t>
            </w:r>
            <w:r>
              <w:rPr>
                <w:rFonts w:hint="eastAsia" w:cs="Times New Roman"/>
                <w:color w:val="auto"/>
                <w:kern w:val="0"/>
                <w:sz w:val="24"/>
                <w:szCs w:val="24"/>
                <w:highlight w:val="none"/>
                <w:lang w:val="en-US" w:eastAsia="zh-CN" w:bidi="ar"/>
              </w:rPr>
              <w:t>下</w:t>
            </w:r>
            <w:r>
              <w:rPr>
                <w:rFonts w:hint="default" w:ascii="Times New Roman" w:hAnsi="Times New Roman" w:eastAsia="宋体" w:cs="Times New Roman"/>
                <w:color w:val="auto"/>
                <w:kern w:val="0"/>
                <w:sz w:val="24"/>
                <w:szCs w:val="24"/>
                <w:highlight w:val="none"/>
                <w:lang w:val="en-US" w:eastAsia="zh-CN" w:bidi="ar"/>
              </w:rPr>
              <w:t>图。</w:t>
            </w:r>
          </w:p>
          <w:p w14:paraId="24384C63">
            <w:pPr>
              <w:keepNext w:val="0"/>
              <w:keepLines w:val="0"/>
              <w:suppressLineNumbers w:val="0"/>
              <w:spacing w:before="17" w:beforeAutospacing="0" w:after="0" w:afterAutospacing="0" w:line="1663" w:lineRule="exact"/>
              <w:ind w:left="0" w:right="0"/>
              <w:jc w:val="center"/>
              <w:rPr>
                <w:rFonts w:hint="default"/>
                <w:color w:val="auto"/>
                <w:highlight w:val="none"/>
              </w:rPr>
            </w:pPr>
            <w:r>
              <w:rPr>
                <w:rFonts w:hint="default"/>
                <w:color w:val="auto"/>
                <w:position w:val="-33"/>
                <w:highlight w:val="none"/>
              </w:rPr>
              <w:drawing>
                <wp:inline distT="0" distB="0" distL="0" distR="0">
                  <wp:extent cx="4732655" cy="10560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
                          <a:srcRect r="746"/>
                          <a:stretch>
                            <a:fillRect/>
                          </a:stretch>
                        </pic:blipFill>
                        <pic:spPr>
                          <a:xfrm>
                            <a:off x="0" y="0"/>
                            <a:ext cx="4732655" cy="1056131"/>
                          </a:xfrm>
                          <a:prstGeom prst="rect">
                            <a:avLst/>
                          </a:prstGeom>
                        </pic:spPr>
                      </pic:pic>
                    </a:graphicData>
                  </a:graphic>
                </wp:inline>
              </w:drawing>
            </w:r>
          </w:p>
          <w:p w14:paraId="638A6170">
            <w:pPr>
              <w:pStyle w:val="104"/>
              <w:keepNext w:val="0"/>
              <w:keepLines w:val="0"/>
              <w:suppressLineNumbers w:val="0"/>
              <w:spacing w:before="142" w:beforeAutospacing="0" w:after="0" w:afterAutospacing="0" w:line="228" w:lineRule="auto"/>
              <w:ind w:left="2130" w:right="0"/>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图 2-2    项目施工期工艺流程及产污环节图</w:t>
            </w:r>
          </w:p>
          <w:p w14:paraId="6F001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根据施工期工程分析，项目施工期产污环节包括：</w:t>
            </w:r>
          </w:p>
          <w:p w14:paraId="222A2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（1）施工期废气</w:t>
            </w:r>
          </w:p>
          <w:p w14:paraId="628C0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施工期废气主要是施工扬尘及施工机械废气。</w:t>
            </w:r>
          </w:p>
          <w:p w14:paraId="4B354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对环境空气的扬尘污染主要为厂区地面平整、进场道路开挖修建、运输车辆的行驶、装卸施工材料、施工机械填挖土方、挖掘弃土临时堆存引起的扬尘。施工机械废气主要来自各类燃油动力机械如汽车、推土机、翻斗车等排放的废气，主要污染物为CO、NOx及碳氢化合物等。</w:t>
            </w:r>
          </w:p>
          <w:p w14:paraId="16615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（2）施工期废水</w:t>
            </w:r>
          </w:p>
          <w:p w14:paraId="6D33E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施工期废水主要是生产废水和生活污水。</w:t>
            </w:r>
          </w:p>
          <w:p w14:paraId="6CEC16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生产废水主要包括混凝土搅拌废水、混凝土养护排水，废水含有水泥、沙子、块状垃圾等杂质；车辆和施工设备的冲洗水主要污染物是悬浮物、少量石油类污染物。生活污水主要是施工人员日常洗漱、如厕等产生的污水。</w:t>
            </w:r>
          </w:p>
          <w:p w14:paraId="0AA01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（3）施工期噪声</w:t>
            </w:r>
          </w:p>
          <w:p w14:paraId="139CF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噪声主要来自施工过程中各种施工机械产生的噪声，包括各种轻重型运输车、土石方开挖阶段的推土机、挖掘机、装载机、翻斗机，结构施工阶段的搅拌机，以及结构装修阶段的切割机等。该噪声具有阶段性、临时性和不固定性等。</w:t>
            </w:r>
          </w:p>
          <w:p w14:paraId="48547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（4）施工期固体废物</w:t>
            </w:r>
          </w:p>
          <w:p w14:paraId="577B20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施工期固体废物主要是建筑垃圾和生活垃圾。</w:t>
            </w:r>
          </w:p>
          <w:p w14:paraId="41614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施工期建筑垃圾包括基础开挖及土建工程产生的砖瓦石块、渣土、泥土、废弃的混凝土、水泥、钢筋和砂浆等，成分以无机物为主。生活垃圾主要为施工人员产生的纸屑、果皮等。</w:t>
            </w:r>
          </w:p>
          <w:p w14:paraId="5519C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项目施工期环境影响因素见下表2-</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w:t>
            </w:r>
          </w:p>
          <w:p w14:paraId="5F809FD8">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bidi="ar-SA"/>
              </w:rPr>
              <w:t>表 2-</w:t>
            </w:r>
            <w:r>
              <w:rPr>
                <w:rFonts w:hint="eastAsia" w:cs="Times New Roman"/>
                <w:b/>
                <w:bCs w:val="0"/>
                <w:color w:val="auto"/>
                <w:kern w:val="2"/>
                <w:sz w:val="21"/>
                <w:szCs w:val="21"/>
                <w:highlight w:val="none"/>
                <w:lang w:val="en-US" w:eastAsia="zh-CN" w:bidi="ar-SA"/>
              </w:rPr>
              <w:t>7</w:t>
            </w:r>
            <w:r>
              <w:rPr>
                <w:rFonts w:hint="default" w:ascii="Times New Roman" w:hAnsi="Times New Roman" w:eastAsia="宋体" w:cs="Times New Roman"/>
                <w:b/>
                <w:bCs w:val="0"/>
                <w:color w:val="auto"/>
                <w:kern w:val="2"/>
                <w:sz w:val="21"/>
                <w:szCs w:val="21"/>
                <w:highlight w:val="none"/>
                <w:lang w:val="en-US" w:eastAsia="zh-CN" w:bidi="ar-SA"/>
              </w:rPr>
              <w:t xml:space="preserve">    项目施工期环境影响因素一览表</w:t>
            </w:r>
          </w:p>
          <w:tbl>
            <w:tblPr>
              <w:tblStyle w:val="10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19"/>
              <w:gridCol w:w="948"/>
              <w:gridCol w:w="2104"/>
              <w:gridCol w:w="2694"/>
              <w:gridCol w:w="1893"/>
            </w:tblGrid>
            <w:tr w14:paraId="7D6E86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430" w:type="pct"/>
                  <w:tcBorders>
                    <w:tl2br w:val="nil"/>
                    <w:tr2bl w:val="nil"/>
                  </w:tcBorders>
                  <w:vAlign w:val="center"/>
                </w:tcPr>
                <w:p w14:paraId="7B3AAA9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val="0"/>
                      <w:snapToGrid/>
                      <w:color w:val="auto"/>
                      <w:kern w:val="2"/>
                      <w:sz w:val="21"/>
                      <w:szCs w:val="21"/>
                      <w:highlight w:val="none"/>
                      <w:lang w:val="en-US" w:eastAsia="zh-CN"/>
                    </w:rPr>
                  </w:pPr>
                  <w:r>
                    <w:rPr>
                      <w:rFonts w:hint="default" w:ascii="Times New Roman" w:hAnsi="Times New Roman" w:eastAsia="宋体" w:cs="Times New Roman"/>
                      <w:b/>
                      <w:bCs w:val="0"/>
                      <w:snapToGrid/>
                      <w:color w:val="auto"/>
                      <w:kern w:val="2"/>
                      <w:sz w:val="21"/>
                      <w:szCs w:val="21"/>
                      <w:highlight w:val="none"/>
                      <w:lang w:val="en-US" w:eastAsia="zh-CN"/>
                    </w:rPr>
                    <w:t>序号</w:t>
                  </w:r>
                </w:p>
              </w:tc>
              <w:tc>
                <w:tcPr>
                  <w:tcW w:w="567" w:type="pct"/>
                  <w:tcBorders>
                    <w:tl2br w:val="nil"/>
                    <w:tr2bl w:val="nil"/>
                  </w:tcBorders>
                  <w:vAlign w:val="center"/>
                </w:tcPr>
                <w:p w14:paraId="3587B9F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val="0"/>
                      <w:snapToGrid/>
                      <w:color w:val="auto"/>
                      <w:kern w:val="2"/>
                      <w:sz w:val="21"/>
                      <w:szCs w:val="21"/>
                      <w:highlight w:val="none"/>
                      <w:lang w:val="en-US" w:eastAsia="zh-CN"/>
                    </w:rPr>
                  </w:pPr>
                  <w:r>
                    <w:rPr>
                      <w:rFonts w:hint="default" w:ascii="Times New Roman" w:hAnsi="Times New Roman" w:eastAsia="宋体" w:cs="Times New Roman"/>
                      <w:b/>
                      <w:bCs w:val="0"/>
                      <w:snapToGrid/>
                      <w:color w:val="auto"/>
                      <w:kern w:val="2"/>
                      <w:sz w:val="21"/>
                      <w:szCs w:val="21"/>
                      <w:highlight w:val="none"/>
                      <w:lang w:val="en-US" w:eastAsia="zh-CN"/>
                    </w:rPr>
                    <w:t>污染源</w:t>
                  </w:r>
                </w:p>
              </w:tc>
              <w:tc>
                <w:tcPr>
                  <w:tcW w:w="1258" w:type="pct"/>
                  <w:tcBorders>
                    <w:tl2br w:val="nil"/>
                    <w:tr2bl w:val="nil"/>
                  </w:tcBorders>
                  <w:vAlign w:val="center"/>
                </w:tcPr>
                <w:p w14:paraId="63E5014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val="0"/>
                      <w:snapToGrid/>
                      <w:color w:val="auto"/>
                      <w:kern w:val="2"/>
                      <w:sz w:val="21"/>
                      <w:szCs w:val="21"/>
                      <w:highlight w:val="none"/>
                      <w:lang w:val="en-US" w:eastAsia="zh-CN"/>
                    </w:rPr>
                  </w:pPr>
                  <w:r>
                    <w:rPr>
                      <w:rFonts w:hint="default" w:ascii="Times New Roman" w:hAnsi="Times New Roman" w:eastAsia="宋体" w:cs="Times New Roman"/>
                      <w:b/>
                      <w:bCs w:val="0"/>
                      <w:snapToGrid/>
                      <w:color w:val="auto"/>
                      <w:kern w:val="2"/>
                      <w:sz w:val="21"/>
                      <w:szCs w:val="21"/>
                      <w:highlight w:val="none"/>
                      <w:lang w:val="en-US" w:eastAsia="zh-CN"/>
                    </w:rPr>
                    <w:t>污染源名称</w:t>
                  </w:r>
                </w:p>
              </w:tc>
              <w:tc>
                <w:tcPr>
                  <w:tcW w:w="1611" w:type="pct"/>
                  <w:tcBorders>
                    <w:tl2br w:val="nil"/>
                    <w:tr2bl w:val="nil"/>
                  </w:tcBorders>
                  <w:vAlign w:val="center"/>
                </w:tcPr>
                <w:p w14:paraId="4D6956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val="0"/>
                      <w:snapToGrid/>
                      <w:color w:val="auto"/>
                      <w:kern w:val="2"/>
                      <w:sz w:val="21"/>
                      <w:szCs w:val="21"/>
                      <w:highlight w:val="none"/>
                      <w:lang w:val="en-US" w:eastAsia="zh-CN"/>
                    </w:rPr>
                  </w:pPr>
                  <w:r>
                    <w:rPr>
                      <w:rFonts w:hint="default" w:ascii="Times New Roman" w:hAnsi="Times New Roman" w:eastAsia="宋体" w:cs="Times New Roman"/>
                      <w:b/>
                      <w:bCs w:val="0"/>
                      <w:snapToGrid/>
                      <w:color w:val="auto"/>
                      <w:kern w:val="2"/>
                      <w:sz w:val="21"/>
                      <w:szCs w:val="21"/>
                      <w:highlight w:val="none"/>
                      <w:lang w:val="en-US" w:eastAsia="zh-CN"/>
                    </w:rPr>
                    <w:t>污染物种类</w:t>
                  </w:r>
                </w:p>
              </w:tc>
              <w:tc>
                <w:tcPr>
                  <w:tcW w:w="1132" w:type="pct"/>
                  <w:tcBorders>
                    <w:tl2br w:val="nil"/>
                    <w:tr2bl w:val="nil"/>
                  </w:tcBorders>
                  <w:vAlign w:val="center"/>
                </w:tcPr>
                <w:p w14:paraId="6D3E719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val="0"/>
                      <w:snapToGrid/>
                      <w:color w:val="auto"/>
                      <w:kern w:val="2"/>
                      <w:sz w:val="21"/>
                      <w:szCs w:val="21"/>
                      <w:highlight w:val="none"/>
                      <w:lang w:val="en-US" w:eastAsia="zh-CN"/>
                    </w:rPr>
                  </w:pPr>
                  <w:r>
                    <w:rPr>
                      <w:rFonts w:hint="default" w:ascii="Times New Roman" w:hAnsi="Times New Roman" w:eastAsia="宋体" w:cs="Times New Roman"/>
                      <w:b/>
                      <w:bCs w:val="0"/>
                      <w:snapToGrid/>
                      <w:color w:val="auto"/>
                      <w:kern w:val="2"/>
                      <w:sz w:val="21"/>
                      <w:szCs w:val="21"/>
                      <w:highlight w:val="none"/>
                      <w:lang w:val="en-US" w:eastAsia="zh-CN"/>
                    </w:rPr>
                    <w:t>排放规律</w:t>
                  </w:r>
                </w:p>
              </w:tc>
            </w:tr>
            <w:tr w14:paraId="7FE667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430" w:type="pct"/>
                  <w:tcBorders>
                    <w:tl2br w:val="nil"/>
                    <w:tr2bl w:val="nil"/>
                  </w:tcBorders>
                  <w:vAlign w:val="center"/>
                </w:tcPr>
                <w:p w14:paraId="0F4FF27F">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w:t>
                  </w:r>
                </w:p>
              </w:tc>
              <w:tc>
                <w:tcPr>
                  <w:tcW w:w="567" w:type="pct"/>
                  <w:vMerge w:val="restart"/>
                  <w:tcBorders>
                    <w:tl2br w:val="nil"/>
                    <w:tr2bl w:val="nil"/>
                  </w:tcBorders>
                  <w:vAlign w:val="center"/>
                </w:tcPr>
                <w:p w14:paraId="723CA191">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废气</w:t>
                  </w:r>
                </w:p>
              </w:tc>
              <w:tc>
                <w:tcPr>
                  <w:tcW w:w="1258" w:type="pct"/>
                  <w:tcBorders>
                    <w:tl2br w:val="nil"/>
                    <w:tr2bl w:val="nil"/>
                  </w:tcBorders>
                  <w:vAlign w:val="center"/>
                </w:tcPr>
                <w:p w14:paraId="7584225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施工扬尘</w:t>
                  </w:r>
                </w:p>
              </w:tc>
              <w:tc>
                <w:tcPr>
                  <w:tcW w:w="1611" w:type="pct"/>
                  <w:tcBorders>
                    <w:tl2br w:val="nil"/>
                    <w:tr2bl w:val="nil"/>
                  </w:tcBorders>
                  <w:vAlign w:val="center"/>
                </w:tcPr>
                <w:p w14:paraId="15473549">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粉尘</w:t>
                  </w:r>
                </w:p>
              </w:tc>
              <w:tc>
                <w:tcPr>
                  <w:tcW w:w="1132" w:type="pct"/>
                  <w:tcBorders>
                    <w:tl2br w:val="nil"/>
                    <w:tr2bl w:val="nil"/>
                  </w:tcBorders>
                  <w:vAlign w:val="center"/>
                </w:tcPr>
                <w:p w14:paraId="22E8D870">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无组织排放</w:t>
                  </w:r>
                </w:p>
              </w:tc>
            </w:tr>
            <w:tr w14:paraId="4D30D5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430" w:type="pct"/>
                  <w:tcBorders>
                    <w:tl2br w:val="nil"/>
                    <w:tr2bl w:val="nil"/>
                  </w:tcBorders>
                  <w:vAlign w:val="center"/>
                </w:tcPr>
                <w:p w14:paraId="1620F5BF">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w:t>
                  </w:r>
                </w:p>
              </w:tc>
              <w:tc>
                <w:tcPr>
                  <w:tcW w:w="567" w:type="pct"/>
                  <w:vMerge w:val="continue"/>
                  <w:tcBorders>
                    <w:tl2br w:val="nil"/>
                    <w:tr2bl w:val="nil"/>
                  </w:tcBorders>
                  <w:vAlign w:val="center"/>
                </w:tcPr>
                <w:p w14:paraId="23540CF8">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p>
              </w:tc>
              <w:tc>
                <w:tcPr>
                  <w:tcW w:w="1258" w:type="pct"/>
                  <w:tcBorders>
                    <w:tl2br w:val="nil"/>
                    <w:tr2bl w:val="nil"/>
                  </w:tcBorders>
                  <w:vAlign w:val="center"/>
                </w:tcPr>
                <w:p w14:paraId="7667F0A8">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施工机械废气车辆尾气</w:t>
                  </w:r>
                </w:p>
              </w:tc>
              <w:tc>
                <w:tcPr>
                  <w:tcW w:w="1611" w:type="pct"/>
                  <w:tcBorders>
                    <w:tl2br w:val="nil"/>
                    <w:tr2bl w:val="nil"/>
                  </w:tcBorders>
                  <w:vAlign w:val="center"/>
                </w:tcPr>
                <w:p w14:paraId="1BEDEF2E">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CO、THC、NOx</w:t>
                  </w:r>
                </w:p>
              </w:tc>
              <w:tc>
                <w:tcPr>
                  <w:tcW w:w="1132" w:type="pct"/>
                  <w:tcBorders>
                    <w:tl2br w:val="nil"/>
                    <w:tr2bl w:val="nil"/>
                  </w:tcBorders>
                  <w:vAlign w:val="center"/>
                </w:tcPr>
                <w:p w14:paraId="2DDCAB2A">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无组织排放</w:t>
                  </w:r>
                </w:p>
              </w:tc>
            </w:tr>
            <w:tr w14:paraId="43541B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8" w:hRule="atLeast"/>
                <w:jc w:val="center"/>
              </w:trPr>
              <w:tc>
                <w:tcPr>
                  <w:tcW w:w="430" w:type="pct"/>
                  <w:tcBorders>
                    <w:tl2br w:val="nil"/>
                    <w:tr2bl w:val="nil"/>
                  </w:tcBorders>
                  <w:vAlign w:val="center"/>
                </w:tcPr>
                <w:p w14:paraId="14875374">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3</w:t>
                  </w:r>
                </w:p>
              </w:tc>
              <w:tc>
                <w:tcPr>
                  <w:tcW w:w="567" w:type="pct"/>
                  <w:vMerge w:val="restart"/>
                  <w:tcBorders>
                    <w:tl2br w:val="nil"/>
                    <w:tr2bl w:val="nil"/>
                  </w:tcBorders>
                  <w:vAlign w:val="center"/>
                </w:tcPr>
                <w:p w14:paraId="1518FD5F">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废水</w:t>
                  </w:r>
                </w:p>
              </w:tc>
              <w:tc>
                <w:tcPr>
                  <w:tcW w:w="1258" w:type="pct"/>
                  <w:tcBorders>
                    <w:tl2br w:val="nil"/>
                    <w:tr2bl w:val="nil"/>
                  </w:tcBorders>
                  <w:vAlign w:val="center"/>
                </w:tcPr>
                <w:p w14:paraId="6FF3BC20">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both"/>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土石方阶段、混凝土养护及各种车辆冲洗</w:t>
                  </w:r>
                  <w:r>
                    <w:rPr>
                      <w:rFonts w:hint="eastAsia" w:ascii="Times New Roman" w:hAnsi="Times New Roman" w:eastAsia="宋体" w:cs="Times New Roman"/>
                      <w:snapToGrid/>
                      <w:color w:val="auto"/>
                      <w:kern w:val="2"/>
                      <w:sz w:val="21"/>
                      <w:szCs w:val="21"/>
                      <w:highlight w:val="none"/>
                      <w:lang w:val="en-US" w:eastAsia="zh-CN"/>
                    </w:rPr>
                    <w:t>废水</w:t>
                  </w:r>
                </w:p>
              </w:tc>
              <w:tc>
                <w:tcPr>
                  <w:tcW w:w="1611" w:type="pct"/>
                  <w:tcBorders>
                    <w:tl2br w:val="nil"/>
                    <w:tr2bl w:val="nil"/>
                  </w:tcBorders>
                  <w:vAlign w:val="center"/>
                </w:tcPr>
                <w:p w14:paraId="0359BC2E">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pH、COD、SS、石油类</w:t>
                  </w:r>
                </w:p>
              </w:tc>
              <w:tc>
                <w:tcPr>
                  <w:tcW w:w="1132" w:type="pct"/>
                  <w:tcBorders>
                    <w:tl2br w:val="nil"/>
                    <w:tr2bl w:val="nil"/>
                  </w:tcBorders>
                  <w:vAlign w:val="center"/>
                </w:tcPr>
                <w:p w14:paraId="627BB8EB">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间断排放</w:t>
                  </w:r>
                </w:p>
              </w:tc>
            </w:tr>
            <w:tr w14:paraId="7B2681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430" w:type="pct"/>
                  <w:tcBorders>
                    <w:tl2br w:val="nil"/>
                    <w:tr2bl w:val="nil"/>
                  </w:tcBorders>
                  <w:vAlign w:val="center"/>
                </w:tcPr>
                <w:p w14:paraId="5F9CCADF">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4</w:t>
                  </w:r>
                </w:p>
              </w:tc>
              <w:tc>
                <w:tcPr>
                  <w:tcW w:w="567" w:type="pct"/>
                  <w:vMerge w:val="continue"/>
                  <w:tcBorders>
                    <w:tl2br w:val="nil"/>
                    <w:tr2bl w:val="nil"/>
                  </w:tcBorders>
                  <w:vAlign w:val="center"/>
                </w:tcPr>
                <w:p w14:paraId="3BEFCA6D">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p>
              </w:tc>
              <w:tc>
                <w:tcPr>
                  <w:tcW w:w="1258" w:type="pct"/>
                  <w:tcBorders>
                    <w:tl2br w:val="nil"/>
                    <w:tr2bl w:val="nil"/>
                  </w:tcBorders>
                  <w:vAlign w:val="center"/>
                </w:tcPr>
                <w:p w14:paraId="169B84FE">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施工人员生活污水</w:t>
                  </w:r>
                </w:p>
              </w:tc>
              <w:tc>
                <w:tcPr>
                  <w:tcW w:w="1611" w:type="pct"/>
                  <w:tcBorders>
                    <w:tl2br w:val="nil"/>
                    <w:tr2bl w:val="nil"/>
                  </w:tcBorders>
                  <w:vAlign w:val="center"/>
                </w:tcPr>
                <w:p w14:paraId="4D42820A">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COD、BOD</w:t>
                  </w:r>
                  <w:r>
                    <w:rPr>
                      <w:rFonts w:hint="default" w:ascii="Times New Roman" w:hAnsi="Times New Roman" w:eastAsia="宋体" w:cs="Times New Roman"/>
                      <w:snapToGrid/>
                      <w:color w:val="auto"/>
                      <w:kern w:val="2"/>
                      <w:sz w:val="21"/>
                      <w:szCs w:val="21"/>
                      <w:highlight w:val="none"/>
                      <w:vertAlign w:val="subscript"/>
                      <w:lang w:val="en-US" w:eastAsia="zh-CN"/>
                    </w:rPr>
                    <w:t>5</w:t>
                  </w:r>
                  <w:r>
                    <w:rPr>
                      <w:rFonts w:hint="default" w:ascii="Times New Roman" w:hAnsi="Times New Roman" w:eastAsia="宋体" w:cs="Times New Roman"/>
                      <w:snapToGrid/>
                      <w:color w:val="auto"/>
                      <w:kern w:val="2"/>
                      <w:sz w:val="21"/>
                      <w:szCs w:val="21"/>
                      <w:highlight w:val="none"/>
                      <w:lang w:val="en-US" w:eastAsia="zh-CN"/>
                    </w:rPr>
                    <w:t>、SS、氨氮</w:t>
                  </w:r>
                </w:p>
              </w:tc>
              <w:tc>
                <w:tcPr>
                  <w:tcW w:w="1132" w:type="pct"/>
                  <w:tcBorders>
                    <w:tl2br w:val="nil"/>
                    <w:tr2bl w:val="nil"/>
                  </w:tcBorders>
                  <w:vAlign w:val="center"/>
                </w:tcPr>
                <w:p w14:paraId="575DD727">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间断排放</w:t>
                  </w:r>
                </w:p>
              </w:tc>
            </w:tr>
            <w:tr w14:paraId="70482C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430" w:type="pct"/>
                  <w:tcBorders>
                    <w:tl2br w:val="nil"/>
                    <w:tr2bl w:val="nil"/>
                  </w:tcBorders>
                  <w:vAlign w:val="center"/>
                </w:tcPr>
                <w:p w14:paraId="3F8DC94A">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5</w:t>
                  </w:r>
                </w:p>
              </w:tc>
              <w:tc>
                <w:tcPr>
                  <w:tcW w:w="567" w:type="pct"/>
                  <w:vMerge w:val="restart"/>
                  <w:tcBorders>
                    <w:tl2br w:val="nil"/>
                    <w:tr2bl w:val="nil"/>
                  </w:tcBorders>
                  <w:vAlign w:val="center"/>
                </w:tcPr>
                <w:p w14:paraId="7293513E">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噪声</w:t>
                  </w:r>
                </w:p>
              </w:tc>
              <w:tc>
                <w:tcPr>
                  <w:tcW w:w="1258" w:type="pct"/>
                  <w:tcBorders>
                    <w:tl2br w:val="nil"/>
                    <w:tr2bl w:val="nil"/>
                  </w:tcBorders>
                  <w:vAlign w:val="center"/>
                </w:tcPr>
                <w:p w14:paraId="40EC9472">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施工机械噪声</w:t>
                  </w:r>
                </w:p>
              </w:tc>
              <w:tc>
                <w:tcPr>
                  <w:tcW w:w="1611" w:type="pct"/>
                  <w:tcBorders>
                    <w:tl2br w:val="nil"/>
                    <w:tr2bl w:val="nil"/>
                  </w:tcBorders>
                  <w:vAlign w:val="center"/>
                </w:tcPr>
                <w:p w14:paraId="1F652F06">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等效A声级（施工机械）</w:t>
                  </w:r>
                </w:p>
              </w:tc>
              <w:tc>
                <w:tcPr>
                  <w:tcW w:w="1132" w:type="pct"/>
                  <w:tcBorders>
                    <w:tl2br w:val="nil"/>
                    <w:tr2bl w:val="nil"/>
                  </w:tcBorders>
                  <w:vAlign w:val="center"/>
                </w:tcPr>
                <w:p w14:paraId="1B9FC4FF">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室外流动线声源</w:t>
                  </w:r>
                </w:p>
              </w:tc>
            </w:tr>
            <w:tr w14:paraId="6A5975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430" w:type="pct"/>
                  <w:tcBorders>
                    <w:tl2br w:val="nil"/>
                    <w:tr2bl w:val="nil"/>
                  </w:tcBorders>
                  <w:vAlign w:val="center"/>
                </w:tcPr>
                <w:p w14:paraId="79C77B40">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6</w:t>
                  </w:r>
                </w:p>
              </w:tc>
              <w:tc>
                <w:tcPr>
                  <w:tcW w:w="567" w:type="pct"/>
                  <w:vMerge w:val="continue"/>
                  <w:tcBorders>
                    <w:tl2br w:val="nil"/>
                    <w:tr2bl w:val="nil"/>
                  </w:tcBorders>
                  <w:vAlign w:val="center"/>
                </w:tcPr>
                <w:p w14:paraId="4288E0D1">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p>
              </w:tc>
              <w:tc>
                <w:tcPr>
                  <w:tcW w:w="1258" w:type="pct"/>
                  <w:tcBorders>
                    <w:tl2br w:val="nil"/>
                    <w:tr2bl w:val="nil"/>
                  </w:tcBorders>
                  <w:vAlign w:val="center"/>
                </w:tcPr>
                <w:p w14:paraId="118A5685">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运输车辆交通噪声</w:t>
                  </w:r>
                </w:p>
              </w:tc>
              <w:tc>
                <w:tcPr>
                  <w:tcW w:w="1611" w:type="pct"/>
                  <w:tcBorders>
                    <w:tl2br w:val="nil"/>
                    <w:tr2bl w:val="nil"/>
                  </w:tcBorders>
                  <w:vAlign w:val="center"/>
                </w:tcPr>
                <w:p w14:paraId="3E64F570">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等效A声级（运输车辆）</w:t>
                  </w:r>
                </w:p>
              </w:tc>
              <w:tc>
                <w:tcPr>
                  <w:tcW w:w="1132" w:type="pct"/>
                  <w:tcBorders>
                    <w:tl2br w:val="nil"/>
                    <w:tr2bl w:val="nil"/>
                  </w:tcBorders>
                  <w:vAlign w:val="center"/>
                </w:tcPr>
                <w:p w14:paraId="6A752558">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室外流动线声源</w:t>
                  </w:r>
                </w:p>
              </w:tc>
            </w:tr>
            <w:tr w14:paraId="1E5C39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430" w:type="pct"/>
                  <w:tcBorders>
                    <w:tl2br w:val="nil"/>
                    <w:tr2bl w:val="nil"/>
                  </w:tcBorders>
                  <w:vAlign w:val="center"/>
                </w:tcPr>
                <w:p w14:paraId="4F75FE78">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7</w:t>
                  </w:r>
                </w:p>
              </w:tc>
              <w:tc>
                <w:tcPr>
                  <w:tcW w:w="567" w:type="pct"/>
                  <w:vMerge w:val="restart"/>
                  <w:tcBorders>
                    <w:tl2br w:val="nil"/>
                    <w:tr2bl w:val="nil"/>
                  </w:tcBorders>
                  <w:vAlign w:val="center"/>
                </w:tcPr>
                <w:p w14:paraId="51B74164">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固体废物</w:t>
                  </w:r>
                </w:p>
              </w:tc>
              <w:tc>
                <w:tcPr>
                  <w:tcW w:w="1258" w:type="pct"/>
                  <w:tcBorders>
                    <w:tl2br w:val="nil"/>
                    <w:tr2bl w:val="nil"/>
                  </w:tcBorders>
                  <w:vAlign w:val="center"/>
                </w:tcPr>
                <w:p w14:paraId="311B2A54">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建筑垃圾</w:t>
                  </w:r>
                </w:p>
              </w:tc>
              <w:tc>
                <w:tcPr>
                  <w:tcW w:w="1611" w:type="pct"/>
                  <w:tcBorders>
                    <w:tl2br w:val="nil"/>
                    <w:tr2bl w:val="nil"/>
                  </w:tcBorders>
                  <w:vAlign w:val="center"/>
                </w:tcPr>
                <w:p w14:paraId="7089F78F">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一般工业固体废物</w:t>
                  </w:r>
                </w:p>
              </w:tc>
              <w:tc>
                <w:tcPr>
                  <w:tcW w:w="1132" w:type="pct"/>
                  <w:tcBorders>
                    <w:tl2br w:val="nil"/>
                    <w:tr2bl w:val="nil"/>
                  </w:tcBorders>
                  <w:vAlign w:val="center"/>
                </w:tcPr>
                <w:p w14:paraId="34B30F04">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间断排放</w:t>
                  </w:r>
                </w:p>
              </w:tc>
            </w:tr>
            <w:tr w14:paraId="15C4A4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430" w:type="pct"/>
                  <w:tcBorders>
                    <w:tl2br w:val="nil"/>
                    <w:tr2bl w:val="nil"/>
                  </w:tcBorders>
                  <w:vAlign w:val="center"/>
                </w:tcPr>
                <w:p w14:paraId="69EC2F9A">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8</w:t>
                  </w:r>
                </w:p>
              </w:tc>
              <w:tc>
                <w:tcPr>
                  <w:tcW w:w="567" w:type="pct"/>
                  <w:vMerge w:val="continue"/>
                  <w:tcBorders>
                    <w:tl2br w:val="nil"/>
                    <w:tr2bl w:val="nil"/>
                  </w:tcBorders>
                  <w:vAlign w:val="center"/>
                </w:tcPr>
                <w:p w14:paraId="3CED611E">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p>
              </w:tc>
              <w:tc>
                <w:tcPr>
                  <w:tcW w:w="1258" w:type="pct"/>
                  <w:tcBorders>
                    <w:tl2br w:val="nil"/>
                    <w:tr2bl w:val="nil"/>
                  </w:tcBorders>
                  <w:vAlign w:val="center"/>
                </w:tcPr>
                <w:p w14:paraId="393787D6">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施工人员生活垃圾</w:t>
                  </w:r>
                </w:p>
              </w:tc>
              <w:tc>
                <w:tcPr>
                  <w:tcW w:w="1611" w:type="pct"/>
                  <w:tcBorders>
                    <w:tl2br w:val="nil"/>
                    <w:tr2bl w:val="nil"/>
                  </w:tcBorders>
                  <w:vAlign w:val="center"/>
                </w:tcPr>
                <w:p w14:paraId="78C860AC">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生活垃圾</w:t>
                  </w:r>
                </w:p>
              </w:tc>
              <w:tc>
                <w:tcPr>
                  <w:tcW w:w="1132" w:type="pct"/>
                  <w:tcBorders>
                    <w:tl2br w:val="nil"/>
                    <w:tr2bl w:val="nil"/>
                  </w:tcBorders>
                  <w:vAlign w:val="center"/>
                </w:tcPr>
                <w:p w14:paraId="00D6A6C5">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间断排放</w:t>
                  </w:r>
                </w:p>
              </w:tc>
            </w:tr>
          </w:tbl>
          <w:p w14:paraId="11F3163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color w:val="auto"/>
                <w:sz w:val="24"/>
                <w:szCs w:val="24"/>
                <w:highlight w:val="none"/>
                <w:lang w:val="en-US" w:eastAsia="zh-CN"/>
              </w:rPr>
              <w:t>2、运营期</w:t>
            </w:r>
          </w:p>
          <w:p w14:paraId="3B63FF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（1）金属预处理加工</w:t>
            </w:r>
            <w:r>
              <w:rPr>
                <w:rFonts w:hint="default" w:ascii="Times New Roman" w:hAnsi="Times New Roman" w:eastAsia="宋体" w:cs="Times New Roman"/>
                <w:color w:val="auto"/>
                <w:kern w:val="0"/>
                <w:sz w:val="24"/>
                <w:szCs w:val="24"/>
                <w:highlight w:val="none"/>
                <w:lang w:val="en-US" w:eastAsia="zh-CN" w:bidi="ar"/>
              </w:rPr>
              <w:t>：</w:t>
            </w:r>
          </w:p>
          <w:p w14:paraId="449C44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金属预处理加工在2号厂房内进行，将所需的块状样品通过水切割进行尺寸定型，柱状样品或者屑状样品通过小型车床进行车制、去除毛刺。制样后根据标准要求进行拉伸、弯曲或冲击测试，验证产品性能是否满足标准要求。</w:t>
            </w:r>
          </w:p>
          <w:p w14:paraId="1F968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金属预处理加工</w:t>
            </w:r>
            <w:r>
              <w:rPr>
                <w:rFonts w:hint="default" w:ascii="Times New Roman" w:hAnsi="Times New Roman" w:eastAsia="宋体" w:cs="Times New Roman"/>
                <w:color w:val="auto"/>
                <w:sz w:val="24"/>
                <w:szCs w:val="24"/>
                <w:highlight w:val="none"/>
              </w:rPr>
              <w:t>流程及</w:t>
            </w:r>
            <w:r>
              <w:rPr>
                <w:rFonts w:hint="default" w:ascii="Times New Roman" w:hAnsi="Times New Roman" w:eastAsia="宋体" w:cs="Times New Roman"/>
                <w:color w:val="auto"/>
                <w:sz w:val="24"/>
                <w:szCs w:val="24"/>
                <w:highlight w:val="none"/>
                <w:lang w:val="en-US" w:eastAsia="zh-CN"/>
              </w:rPr>
              <w:t>产污</w:t>
            </w:r>
            <w:r>
              <w:rPr>
                <w:rFonts w:hint="default" w:ascii="Times New Roman" w:hAnsi="Times New Roman" w:eastAsia="宋体" w:cs="Times New Roman"/>
                <w:color w:val="auto"/>
                <w:sz w:val="24"/>
                <w:szCs w:val="24"/>
                <w:highlight w:val="none"/>
              </w:rPr>
              <w:t>环节见下图：</w:t>
            </w:r>
          </w:p>
          <w:p w14:paraId="455BCD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2697480</wp:posOffset>
                      </wp:positionH>
                      <wp:positionV relativeFrom="paragraph">
                        <wp:posOffset>1783080</wp:posOffset>
                      </wp:positionV>
                      <wp:extent cx="1143000" cy="428625"/>
                      <wp:effectExtent l="4445" t="4445" r="14605" b="5080"/>
                      <wp:wrapNone/>
                      <wp:docPr id="9" name="文本框 9"/>
                      <wp:cNvGraphicFramePr/>
                      <a:graphic xmlns:a="http://schemas.openxmlformats.org/drawingml/2006/main">
                        <a:graphicData uri="http://schemas.microsoft.com/office/word/2010/wordprocessingShape">
                          <wps:wsp>
                            <wps:cNvSpPr txBox="1"/>
                            <wps:spPr>
                              <a:xfrm>
                                <a:off x="0" y="0"/>
                                <a:ext cx="1143000" cy="428625"/>
                              </a:xfrm>
                              <a:prstGeom prst="rect">
                                <a:avLst/>
                              </a:prstGeom>
                              <a:noFill/>
                              <a:ln w="6350">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14:paraId="7464A11B">
                                  <w:pPr>
                                    <w:rPr>
                                      <w:rFonts w:hint="default" w:eastAsia="宋体"/>
                                      <w:lang w:val="en-US" w:eastAsia="zh-CN"/>
                                    </w:rPr>
                                  </w:pPr>
                                  <w:r>
                                    <w:rPr>
                                      <w:rFonts w:hint="eastAsia"/>
                                      <w:lang w:val="en-US" w:eastAsia="zh-CN"/>
                                    </w:rPr>
                                    <w:t>噪声、废边角料、废金属屑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4pt;margin-top:140.4pt;height:33.75pt;width:90pt;z-index:251664384;mso-width-relative:page;mso-height-relative:page;" filled="f" stroked="t" coordsize="21600,21600" o:gfxdata="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N2&#10;otkAAAALAQAADwAAAAAAAAABACAAAAAiAAAAZHJzL2Rvd25yZXYueG1sUEsBAhQAFAAAAAgAh07i&#10;QNq8/fVaAgAAqAQAAA4AAAAAAAAAAQAgAAAAKAEAAGRycy9lMm9Eb2MueG1sUEsFBgAAAAAGAAYA&#10;WQEAAPQFAAAAAA==&#10;">
                      <v:fill on="f" focussize="0,0"/>
                      <v:stroke weight="0.5pt" color="#000000 [3204]" joinstyle="round" dashstyle="1 1"/>
                      <v:imagedata o:title=""/>
                      <o:lock v:ext="edit" aspectratio="f"/>
                      <v:textbox>
                        <w:txbxContent>
                          <w:p w14:paraId="7464A11B">
                            <w:pPr>
                              <w:rPr>
                                <w:rFonts w:hint="default" w:eastAsia="宋体"/>
                                <w:lang w:val="en-US" w:eastAsia="zh-CN"/>
                              </w:rPr>
                            </w:pPr>
                            <w:r>
                              <w:rPr>
                                <w:rFonts w:hint="eastAsia"/>
                                <w:lang w:val="en-US" w:eastAsia="zh-CN"/>
                              </w:rPr>
                              <w:t>噪声、废边角料、废金属屑</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3278505</wp:posOffset>
                      </wp:positionH>
                      <wp:positionV relativeFrom="paragraph">
                        <wp:posOffset>1183005</wp:posOffset>
                      </wp:positionV>
                      <wp:extent cx="561975" cy="581025"/>
                      <wp:effectExtent l="0" t="3175" r="9525" b="6350"/>
                      <wp:wrapNone/>
                      <wp:docPr id="10" name="直接箭头连接符 10"/>
                      <wp:cNvGraphicFramePr/>
                      <a:graphic xmlns:a="http://schemas.openxmlformats.org/drawingml/2006/main">
                        <a:graphicData uri="http://schemas.microsoft.com/office/word/2010/wordprocessingShape">
                          <wps:wsp>
                            <wps:cNvCnPr/>
                            <wps:spPr>
                              <a:xfrm flipH="1">
                                <a:off x="0" y="0"/>
                                <a:ext cx="561975" cy="581025"/>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58.15pt;margin-top:93.15pt;height:45.75pt;width:44.25pt;z-index:251665408;mso-width-relative:page;mso-height-relative:page;" filled="f" stroked="t" coordsize="21600,21600" o:gfxdata="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C2eFvaAAAACwEAAA8AAAAAAAAAAQAgAAAAIgAAAGRy&#10;cy9kb3ducmV2LnhtbFBLAQIUABQAAAAIAIdO4kA6WyqtAwIAANcDAAAOAAAAAAAAAAEAIAAAACkB&#10;AABkcnMvZTJvRG9jLnhtbFBLBQYAAAAABgAGAFkBAACeBQAAAAA=&#10;">
                      <v:fill on="f" focussize="0,0"/>
                      <v:stroke weight="0.5pt" color="#000000 [3213]" joinstyle="round" endarrow="open"/>
                      <v:imagedata o:title=""/>
                      <o:lock v:ext="edit" aspectratio="f"/>
                    </v:shape>
                  </w:pict>
                </mc:Fallback>
              </mc:AlternateContent>
            </w:r>
            <w:r>
              <w:rPr>
                <w:rFonts w:hint="default"/>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2078355</wp:posOffset>
                      </wp:positionH>
                      <wp:positionV relativeFrom="paragraph">
                        <wp:posOffset>1049655</wp:posOffset>
                      </wp:positionV>
                      <wp:extent cx="1143000" cy="428625"/>
                      <wp:effectExtent l="4445" t="4445" r="14605" b="5080"/>
                      <wp:wrapNone/>
                      <wp:docPr id="6" name="文本框 6"/>
                      <wp:cNvGraphicFramePr/>
                      <a:graphic xmlns:a="http://schemas.openxmlformats.org/drawingml/2006/main">
                        <a:graphicData uri="http://schemas.microsoft.com/office/word/2010/wordprocessingShape">
                          <wps:wsp>
                            <wps:cNvSpPr txBox="1"/>
                            <wps:spPr>
                              <a:xfrm>
                                <a:off x="1737360" y="5411470"/>
                                <a:ext cx="1143000" cy="428625"/>
                              </a:xfrm>
                              <a:prstGeom prst="rect">
                                <a:avLst/>
                              </a:prstGeom>
                              <a:noFill/>
                              <a:ln w="6350">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14:paraId="1DBD0DC5">
                                  <w:pPr>
                                    <w:rPr>
                                      <w:rFonts w:hint="default" w:eastAsia="宋体"/>
                                      <w:lang w:val="en-US" w:eastAsia="zh-CN"/>
                                    </w:rPr>
                                  </w:pPr>
                                  <w:r>
                                    <w:rPr>
                                      <w:rFonts w:hint="eastAsia"/>
                                      <w:lang w:val="en-US" w:eastAsia="zh-CN"/>
                                    </w:rPr>
                                    <w:t>噪声、废边角料、切割废水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5pt;margin-top:82.65pt;height:33.75pt;width:90pt;z-index:251662336;mso-width-relative:page;mso-height-relative:page;" filled="f" stroked="t" coordsize="21600,21600" o:gfxdata="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I3A7tgAAAALAQAADwAAAAAAAAABACAAAAAiAAAAZHJzL2Rvd25yZXYueG1sUEsBAhQA&#10;FAAAAAgAh07iQPF8MchkAgAAtAQAAA4AAAAAAAAAAQAgAAAAJwEAAGRycy9lMm9Eb2MueG1sUEsF&#10;BgAAAAAGAAYAWQEAAP0FAAAAAA==&#10;">
                      <v:fill on="f" focussize="0,0"/>
                      <v:stroke weight="0.5pt" color="#000000 [3204]" joinstyle="round" dashstyle="1 1"/>
                      <v:imagedata o:title=""/>
                      <o:lock v:ext="edit" aspectratio="f"/>
                      <v:textbox>
                        <w:txbxContent>
                          <w:p w14:paraId="1DBD0DC5">
                            <w:pPr>
                              <w:rPr>
                                <w:rFonts w:hint="default" w:eastAsia="宋体"/>
                                <w:lang w:val="en-US" w:eastAsia="zh-CN"/>
                              </w:rPr>
                            </w:pPr>
                            <w:r>
                              <w:rPr>
                                <w:rFonts w:hint="eastAsia"/>
                                <w:lang w:val="en-US" w:eastAsia="zh-CN"/>
                              </w:rPr>
                              <w:t>噪声、废边角料、切割废水</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1716405</wp:posOffset>
                      </wp:positionH>
                      <wp:positionV relativeFrom="paragraph">
                        <wp:posOffset>1211580</wp:posOffset>
                      </wp:positionV>
                      <wp:extent cx="371475" cy="0"/>
                      <wp:effectExtent l="0" t="48895" r="9525" b="65405"/>
                      <wp:wrapNone/>
                      <wp:docPr id="8" name="直接箭头连接符 8"/>
                      <wp:cNvGraphicFramePr/>
                      <a:graphic xmlns:a="http://schemas.openxmlformats.org/drawingml/2006/main">
                        <a:graphicData uri="http://schemas.microsoft.com/office/word/2010/wordprocessingShape">
                          <wps:wsp>
                            <wps:cNvCnPr/>
                            <wps:spPr>
                              <a:xfrm>
                                <a:off x="2975610" y="5354320"/>
                                <a:ext cx="371475" cy="0"/>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5.15pt;margin-top:95.4pt;height:0pt;width:29.25pt;z-index:251663360;mso-width-relative:page;mso-height-relative:page;" filled="f" stroked="t" coordsize="21600,21600" o:gfxdata="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&#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6DvO2AAAAAsBAAAPAAAAAAAAAAEAIAAAACIAAABk&#10;cnMvZG93bnJldi54bWxQSwECFAAUAAAACACHTuJA++hlzgYCAADSAwAADgAAAAAAAAABACAAAAAn&#10;AQAAZHJzL2Uyb0RvYy54bWxQSwUGAAAAAAYABgBZAQAAnwUAAAAA&#10;">
                      <v:fill on="f" focussize="0,0"/>
                      <v:stroke weight="0.5pt" color="#000000 [3213]" joinstyle="round" endarrow="open"/>
                      <v:imagedata o:title=""/>
                      <o:lock v:ext="edit" aspectratio="f"/>
                    </v:shape>
                  </w:pict>
                </mc:Fallback>
              </mc:AlternateContent>
            </w:r>
            <w:r>
              <w:rPr>
                <w:rFonts w:hint="default"/>
                <w:color w:val="auto"/>
                <w:highlight w:val="none"/>
              </w:rPr>
              <w:drawing>
                <wp:inline distT="0" distB="0" distL="114300" distR="114300">
                  <wp:extent cx="4201160" cy="2744470"/>
                  <wp:effectExtent l="0" t="0" r="8890"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4201160" cy="2744470"/>
                          </a:xfrm>
                          <a:prstGeom prst="rect">
                            <a:avLst/>
                          </a:prstGeom>
                          <a:noFill/>
                          <a:ln>
                            <a:noFill/>
                          </a:ln>
                        </pic:spPr>
                      </pic:pic>
                    </a:graphicData>
                  </a:graphic>
                </wp:inline>
              </w:drawing>
            </w:r>
          </w:p>
          <w:p w14:paraId="7BA4FA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val="0"/>
                <w:color w:val="auto"/>
                <w:sz w:val="21"/>
                <w:szCs w:val="21"/>
                <w:highlight w:val="none"/>
                <w:lang w:val="en-US" w:eastAsia="zh-CN"/>
              </w:rPr>
              <w:t>图2</w:t>
            </w:r>
            <w:r>
              <w:rPr>
                <w:rFonts w:hint="default" w:ascii="Times New Roman" w:hAnsi="Times New Roman" w:eastAsia="宋体" w:cs="Times New Roman"/>
                <w:b/>
                <w:bCs w:val="0"/>
                <w:color w:val="auto"/>
                <w:sz w:val="21"/>
                <w:szCs w:val="21"/>
                <w:highlight w:val="none"/>
              </w:rPr>
              <w:t>-</w:t>
            </w:r>
            <w:r>
              <w:rPr>
                <w:rFonts w:hint="eastAsia" w:cs="Times New Roman"/>
                <w:b/>
                <w:bCs w:val="0"/>
                <w:color w:val="auto"/>
                <w:sz w:val="21"/>
                <w:szCs w:val="21"/>
                <w:highlight w:val="none"/>
                <w:lang w:val="en-US" w:eastAsia="zh-CN"/>
              </w:rPr>
              <w:t>3 金属预处理加工</w:t>
            </w:r>
            <w:r>
              <w:rPr>
                <w:rFonts w:hint="default" w:ascii="Times New Roman" w:hAnsi="Times New Roman" w:eastAsia="宋体" w:cs="Times New Roman"/>
                <w:b/>
                <w:bCs w:val="0"/>
                <w:color w:val="auto"/>
                <w:sz w:val="21"/>
                <w:szCs w:val="21"/>
                <w:highlight w:val="none"/>
              </w:rPr>
              <w:t>工艺流程及产污环节图</w:t>
            </w:r>
          </w:p>
          <w:p w14:paraId="5BC5AE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（2）钛锭加工</w:t>
            </w:r>
            <w:r>
              <w:rPr>
                <w:rFonts w:hint="default" w:ascii="Times New Roman" w:hAnsi="Times New Roman" w:eastAsia="宋体" w:cs="Times New Roman"/>
                <w:color w:val="auto"/>
                <w:kern w:val="0"/>
                <w:sz w:val="24"/>
                <w:szCs w:val="24"/>
                <w:highlight w:val="none"/>
                <w:lang w:val="en-US" w:eastAsia="zh-CN" w:bidi="ar"/>
              </w:rPr>
              <w:t>：</w:t>
            </w:r>
          </w:p>
          <w:p w14:paraId="2495B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钛锭加工在1号厂房内进行。原料海绵钛颗粒利用液压机压制成圆饼，再将多个圆饼块料利用真空等离子弧焊机焊接为一个整体圆柱，再将圆柱电极送入真空自耗电弧炉进行熔化、冷却，加工的钛锭进行平头后再进行二次熔化、冷却后的钛锭进行平头、扒皮加工即为本项目的成品纯钛锭。</w:t>
            </w:r>
          </w:p>
          <w:p w14:paraId="50D8E2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①压制电极</w:t>
            </w:r>
          </w:p>
          <w:p w14:paraId="2DB365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首先将海绵钛原料（颗粒状）利用3500t液压机压制成具有一定强度且形状规整的电极块圆饼块料。块料尺寸为直径150～500mm，长度240-380mm，压块密度大于32g/cm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，压块密度均匀，此工艺产生液压机的噪声和设备维护保养时产生的废液压油。</w:t>
            </w:r>
          </w:p>
          <w:p w14:paraId="0B1C5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②</w:t>
            </w:r>
            <w:r>
              <w:rPr>
                <w:rFonts w:hint="default" w:ascii="Times New Roman" w:hAnsi="Times New Roman" w:eastAsia="宋体" w:cs="Times New Roman"/>
                <w:color w:val="auto"/>
                <w:kern w:val="0"/>
                <w:sz w:val="24"/>
                <w:szCs w:val="24"/>
                <w:highlight w:val="none"/>
                <w:lang w:val="en-US" w:eastAsia="zh-CN" w:bidi="ar"/>
              </w:rPr>
              <w:t>电极焊接</w:t>
            </w:r>
          </w:p>
          <w:p w14:paraId="7C4E23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为了便于将海绵钛熔化为钛锭，将多个压制的电极圆饼块料利用真空等离子弧焊机焊接为圆柱体电极</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真空等离子弧焊的工作原理：等离子弧焊是利用钨极与喷嘴之间的压缩电弧进行焊接的一种方法，要使用等离子保护气氩气。等离子弧焊接时其钨极缩在水冷铜喷嘴内部，因此其不可能与工件接触。可避免焊缝金属产生夹钨现象。本项目焊接产生的焊接烟尘经设备自带的焊烟净化器处理。</w:t>
            </w:r>
          </w:p>
          <w:p w14:paraId="04CD2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③</w:t>
            </w:r>
            <w:r>
              <w:rPr>
                <w:rFonts w:hint="default" w:ascii="Times New Roman" w:hAnsi="Times New Roman" w:eastAsia="宋体" w:cs="Times New Roman"/>
                <w:color w:val="auto"/>
                <w:kern w:val="0"/>
                <w:sz w:val="24"/>
                <w:szCs w:val="24"/>
                <w:highlight w:val="none"/>
                <w:lang w:val="en-US" w:eastAsia="zh-CN" w:bidi="ar"/>
              </w:rPr>
              <w:t>一次熔化、间接冷却</w:t>
            </w:r>
          </w:p>
          <w:p w14:paraId="32E7D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熔化过程包括装炉、抽真空、焊接、熔化、冷却、拆炉等几个步骤</w:t>
            </w:r>
            <w:r>
              <w:rPr>
                <w:rFonts w:hint="default" w:ascii="Times New Roman" w:hAnsi="Times New Roman" w:eastAsia="宋体" w:cs="Times New Roman"/>
                <w:color w:val="auto"/>
                <w:kern w:val="0"/>
                <w:sz w:val="24"/>
                <w:szCs w:val="24"/>
                <w:highlight w:val="none"/>
                <w:lang w:val="en-US" w:eastAsia="zh-CN" w:bidi="ar"/>
              </w:rPr>
              <w:t>。装炉是把焊接完成的柱状电极和辅助电极钛棒装入真空自耗电弧炉中，然后将炉膛内进行抽真空，辅助电极夹装，海绵钛柱状电极焊接固定，然后开始起弧进行熔化。</w:t>
            </w:r>
          </w:p>
          <w:p w14:paraId="4AEF83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焊接电极是将组焊好的自耗电极在真空下焊接在辅助电极上，要焊直、焊牢，焊缝能通过工作电流，并且不发生氧化。其过程是先将自耗电极装入炉内，并调整到使其位于塌中心，进行炉体组装，预抽真空度合格后，在真空下进行电弧对焊使自耗电极与辅助电极焊接在一起，瞬间即可完成。焊接真空度6.65Pa以下，电极焊接面必须保持水平、坚固，焊接面积必须保证在70%以上，否则熔化时可能发生在焊缝处掉渣(一般情况下，辅助电极的断面积都比自耗电极的断面积小些，其直径比等于1/2~1/3为好)。本项目采用在自耗电弧炉内焊接辅助电极，纯钛棒作为辅助电极，不额外使用焊条等耗材，焊接过程瞬间即可完成。</w:t>
            </w:r>
          </w:p>
          <w:p w14:paraId="0F387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第一次熔化的目的是使海绵钛熔化、均匀化以及去杂质</w:t>
            </w:r>
            <w:r>
              <w:rPr>
                <w:rFonts w:hint="default" w:ascii="Times New Roman" w:hAnsi="Times New Roman" w:eastAsia="宋体" w:cs="Times New Roman"/>
                <w:color w:val="auto"/>
                <w:kern w:val="0"/>
                <w:sz w:val="24"/>
                <w:szCs w:val="24"/>
                <w:highlight w:val="none"/>
                <w:lang w:val="en-US" w:eastAsia="zh-CN" w:bidi="ar"/>
              </w:rPr>
              <w:t>。一次熔化的工艺参数为：熔化温度1700℃</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预真空≤1.47Pa，漏气率≤1.06Pa，稳弧电流交流8A，熔化真空度≤5Pa，起弧电流5kA，起弧电压23～25V，过渡时间5～8min，熔化电压33～35V，熔化电流20~21kA，冷却水压0.3MPa，冷却时间为5h（充氩4.5h），冷却至低于400℃出炉。</w:t>
            </w:r>
          </w:p>
          <w:p w14:paraId="3E60E3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熔化过程大致分为引弧期、正常熔化期、封顶期和冷却等四个阶段</w:t>
            </w:r>
            <w:r>
              <w:rPr>
                <w:rFonts w:hint="eastAsia" w:cs="Times New Roman"/>
                <w:color w:val="auto"/>
                <w:kern w:val="0"/>
                <w:sz w:val="24"/>
                <w:szCs w:val="24"/>
                <w:highlight w:val="none"/>
                <w:lang w:val="en-US" w:eastAsia="zh-CN" w:bidi="ar"/>
              </w:rPr>
              <w:t>。</w:t>
            </w:r>
          </w:p>
          <w:p w14:paraId="1A9387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引弧期先在底结晶器上面放置一些引弧剂（海绵钛），并使引弧剂和自耗电极端面距离不小于15 mm，一般为20~30 mm。为了顺利地引弧，必须把空载电压（即开路电压）提高到70 V。在空载电压下，借助于自耗电极和引弧剂之间的瞬间接触而产生弧光放电进而达到稳定的电弧燃烧，造成一定量的金属熔池，为过渡到正常容量创造条件。要求引弧期尽量短并迅速形成金属熔池，以减缓电弧对底结晶器的冲击。</w:t>
            </w:r>
          </w:p>
          <w:p w14:paraId="7D28C2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当引弧期结束后，逐渐增加容量电流，迅速转入正常熔化期。熔化期操作是否准确直接影响到熔化产品的质量。待熔池覆盖坩埚底后，迅速将电流升到工艺要求的设定值，进行正常熔化。同时要控制好电压、真空度、熔化速率等其他工艺参数。熔化电流一经确定，熔化是否正确就取决于电弧的长度。电弧过长，热量不集中，表现为熔池呆滞，表面有漂浮的杂质花膜，使金属的玷污程度增加；弧长过短，会造成电弧频繁短路而使熔池温度急剧变化，同时会发生严重喷溅；弧长正常时，熔池十分清晰活跃，熔池徐徐波动并将杂质膜推向结晶器壁。真空度一定要避开危险区。一旦出现真空度骤降，要立刻采取有效措施，适当的减慢熔化速率，控制好电极的进料速度，以保持合适的弧长，防止边弧的产生，待真空度回升后再转入正常熔化。钛及钛合金的熔化真空度一般为0.1~1.0 Pa。</w:t>
            </w:r>
          </w:p>
          <w:p w14:paraId="091E95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正常熔化后期进入封顶期，封顶的目的是为了减少钛锭头部的缩孔和疏松区，降低钛锭的切头量，提高钛锭的成材率。热封顶时间一般占熔化时间的1/4~1/3。从正常熔化计入封顶后，热封顶的电流逐渐递降，分别从正常熔化电流的1/3减低到最后达1/10。确定最佳封顶开始时间，可采用电极杆行程计算预留电极量。</w:t>
            </w:r>
          </w:p>
          <w:p w14:paraId="183AA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熔化好的金属材料滴到结晶器——水冷铜坩埚中冷凝成钛锭。充入氩气，在氩气保护下冷却至400℃以下温度出炉。</w:t>
            </w:r>
          </w:p>
          <w:p w14:paraId="49BD3C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真空自耗炉配真空泵，用于将炉体抽真空，真空泵设备润滑使用真空泵油，抽出的是炉体内空气，同时设备维修保养产生废真空泵油，设备运行产生机械噪声。第四阶段冷却期采用循环水冷却降温，间接冷却水循环使用，定期更换。</w:t>
            </w:r>
          </w:p>
          <w:p w14:paraId="42D9E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④</w:t>
            </w:r>
            <w:r>
              <w:rPr>
                <w:rFonts w:hint="default" w:ascii="Times New Roman" w:hAnsi="Times New Roman" w:eastAsia="宋体" w:cs="Times New Roman"/>
                <w:color w:val="auto"/>
                <w:kern w:val="0"/>
                <w:sz w:val="24"/>
                <w:szCs w:val="24"/>
                <w:highlight w:val="none"/>
                <w:lang w:val="en-US" w:eastAsia="zh-CN" w:bidi="ar"/>
              </w:rPr>
              <w:t>一次平头</w:t>
            </w:r>
          </w:p>
          <w:p w14:paraId="7F408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一次熔化好的钛锭利用车床进行平头加工，加工利用切削液湿法加工，这个过程会产生少量金属边角料、机械噪声及废切削液。</w:t>
            </w:r>
          </w:p>
          <w:p w14:paraId="2FFA61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⑤</w:t>
            </w:r>
            <w:r>
              <w:rPr>
                <w:rFonts w:hint="default" w:ascii="Times New Roman" w:hAnsi="Times New Roman" w:eastAsia="宋体" w:cs="Times New Roman"/>
                <w:color w:val="auto"/>
                <w:kern w:val="0"/>
                <w:sz w:val="24"/>
                <w:szCs w:val="24"/>
                <w:highlight w:val="none"/>
                <w:lang w:val="en-US" w:eastAsia="zh-CN" w:bidi="ar"/>
              </w:rPr>
              <w:t>二次熔化、间接冷却</w:t>
            </w:r>
          </w:p>
          <w:p w14:paraId="3C947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利用真空自耗炉进行第二次熔化，真空自耗炉采用电加热。</w:t>
            </w:r>
          </w:p>
          <w:p w14:paraId="373E7B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第二次熔化的目的是为获得成分分布均匀、无内部冶金缺陷和表面质量好的铸锭。第二次熔化的工艺和第一次熔化的工艺相同</w:t>
            </w:r>
          </w:p>
          <w:p w14:paraId="3AF99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二次熔化的工艺参数为：熔化温度1700℃</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预真空≤1.47Pa，漏气率≤1.06Pa，稳弧电流交流10A，熔化真空度≤5Pa，起弧电流6kA，起弧电压23～25V，过渡时间5～10min，熔化电压35～37V，熔化电流23~24kA，熔化好的金属材料滴到结晶器——水冷铜坩埚中冷凝成钛锭。充入氩气，在氩气保护下冷却至400℃以下温度出炉。冷却水压0.3MPa，冷却时间为6h（充氩5.5h）。</w:t>
            </w:r>
          </w:p>
          <w:p w14:paraId="0207A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⑥</w:t>
            </w:r>
            <w:r>
              <w:rPr>
                <w:rFonts w:hint="default" w:ascii="Times New Roman" w:hAnsi="Times New Roman" w:eastAsia="宋体" w:cs="Times New Roman"/>
                <w:color w:val="auto"/>
                <w:kern w:val="0"/>
                <w:sz w:val="24"/>
                <w:szCs w:val="24"/>
                <w:highlight w:val="none"/>
                <w:lang w:val="en-US" w:eastAsia="zh-CN" w:bidi="ar"/>
              </w:rPr>
              <w:t>二次平头</w:t>
            </w:r>
          </w:p>
          <w:p w14:paraId="520EB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将二次熔化好的钛锭利用锯床进行第二次平头加工，加工利用切削液湿法加工，这个过程会产生少量金属边角料、机械噪声及废切削液。</w:t>
            </w:r>
          </w:p>
          <w:p w14:paraId="77696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⑦</w:t>
            </w:r>
            <w:r>
              <w:rPr>
                <w:rFonts w:hint="default" w:ascii="Times New Roman" w:hAnsi="Times New Roman" w:eastAsia="宋体" w:cs="Times New Roman"/>
                <w:color w:val="auto"/>
                <w:kern w:val="0"/>
                <w:sz w:val="24"/>
                <w:szCs w:val="24"/>
                <w:highlight w:val="none"/>
                <w:lang w:val="en-US" w:eastAsia="zh-CN" w:bidi="ar"/>
              </w:rPr>
              <w:t>扒皮</w:t>
            </w:r>
          </w:p>
          <w:p w14:paraId="562C4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生产完成的钛锭利用车床车去掉表面的氧化皮即为成品钛锭，加工利用切削液湿法加工，氧化皮属于一般工业固废，收集后外售。</w:t>
            </w:r>
          </w:p>
          <w:p w14:paraId="76249B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生产工序产生含油废抹布手套，属于危废；真空泵使用真空泵油、液压油，产生空油桶，属于危废，设备维护保养时产生废润滑油，废含油抹布手套、空油桶、废润滑油收集至厂区的</w:t>
            </w:r>
            <w:r>
              <w:rPr>
                <w:rFonts w:hint="eastAsia" w:cs="Times New Roman"/>
                <w:color w:val="auto"/>
                <w:kern w:val="0"/>
                <w:sz w:val="24"/>
                <w:szCs w:val="24"/>
                <w:highlight w:val="none"/>
                <w:lang w:val="en-US" w:eastAsia="zh-CN" w:bidi="ar"/>
              </w:rPr>
              <w:t>危废贮存库</w:t>
            </w:r>
            <w:r>
              <w:rPr>
                <w:rFonts w:hint="default" w:ascii="Times New Roman" w:hAnsi="Times New Roman" w:eastAsia="宋体" w:cs="Times New Roman"/>
                <w:color w:val="auto"/>
                <w:kern w:val="0"/>
                <w:sz w:val="24"/>
                <w:szCs w:val="24"/>
                <w:highlight w:val="none"/>
                <w:lang w:val="en-US" w:eastAsia="zh-CN" w:bidi="ar"/>
              </w:rPr>
              <w:t>定期委托有资质单位处置</w:t>
            </w:r>
            <w:r>
              <w:rPr>
                <w:rFonts w:hint="eastAsia" w:cs="Times New Roman"/>
                <w:color w:val="auto"/>
                <w:kern w:val="0"/>
                <w:sz w:val="24"/>
                <w:szCs w:val="24"/>
                <w:highlight w:val="none"/>
                <w:lang w:val="en-US" w:eastAsia="zh-CN" w:bidi="ar"/>
              </w:rPr>
              <w:t>。</w:t>
            </w:r>
          </w:p>
          <w:p w14:paraId="44295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⑧对最终成品</w:t>
            </w:r>
            <w:r>
              <w:rPr>
                <w:rFonts w:hint="default" w:ascii="Times New Roman" w:hAnsi="Times New Roman" w:eastAsia="宋体" w:cs="Times New Roman"/>
                <w:color w:val="auto"/>
                <w:kern w:val="0"/>
                <w:sz w:val="24"/>
                <w:szCs w:val="24"/>
                <w:highlight w:val="none"/>
                <w:lang w:val="en-US" w:eastAsia="zh-CN" w:bidi="ar"/>
              </w:rPr>
              <w:t>钛锭</w:t>
            </w:r>
            <w:r>
              <w:rPr>
                <w:rFonts w:hint="eastAsia" w:ascii="Times New Roman" w:hAnsi="Times New Roman" w:eastAsia="宋体" w:cs="Times New Roman"/>
                <w:color w:val="auto"/>
                <w:kern w:val="0"/>
                <w:sz w:val="24"/>
                <w:szCs w:val="24"/>
                <w:highlight w:val="none"/>
                <w:lang w:val="en-US" w:eastAsia="zh-CN" w:bidi="ar"/>
              </w:rPr>
              <w:t>进行检验，不合格产品收集后外售。</w:t>
            </w:r>
          </w:p>
          <w:p w14:paraId="466F3A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14:paraId="343FA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color w:val="auto"/>
                <w:highlight w:val="none"/>
              </w:rPr>
              <w:drawing>
                <wp:inline distT="0" distB="0" distL="114300" distR="114300">
                  <wp:extent cx="4838700" cy="5543550"/>
                  <wp:effectExtent l="0" t="0" r="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11"/>
                          <a:stretch>
                            <a:fillRect/>
                          </a:stretch>
                        </pic:blipFill>
                        <pic:spPr>
                          <a:xfrm>
                            <a:off x="0" y="0"/>
                            <a:ext cx="4838700" cy="5543550"/>
                          </a:xfrm>
                          <a:prstGeom prst="rect">
                            <a:avLst/>
                          </a:prstGeom>
                          <a:noFill/>
                          <a:ln>
                            <a:noFill/>
                          </a:ln>
                        </pic:spPr>
                      </pic:pic>
                    </a:graphicData>
                  </a:graphic>
                </wp:inline>
              </w:drawing>
            </w:r>
          </w:p>
          <w:p w14:paraId="2448B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val="0"/>
                <w:color w:val="auto"/>
                <w:sz w:val="21"/>
                <w:szCs w:val="21"/>
                <w:highlight w:val="none"/>
                <w:lang w:val="en-US" w:eastAsia="zh-CN"/>
              </w:rPr>
              <w:t>图2</w:t>
            </w:r>
            <w:r>
              <w:rPr>
                <w:rFonts w:hint="default" w:ascii="Times New Roman" w:hAnsi="Times New Roman" w:eastAsia="宋体" w:cs="Times New Roman"/>
                <w:b/>
                <w:bCs w:val="0"/>
                <w:color w:val="auto"/>
                <w:sz w:val="21"/>
                <w:szCs w:val="21"/>
                <w:highlight w:val="none"/>
              </w:rPr>
              <w:t>-</w:t>
            </w:r>
            <w:r>
              <w:rPr>
                <w:rFonts w:hint="eastAsia" w:cs="Times New Roman"/>
                <w:b/>
                <w:bCs w:val="0"/>
                <w:color w:val="auto"/>
                <w:sz w:val="21"/>
                <w:szCs w:val="21"/>
                <w:highlight w:val="none"/>
                <w:lang w:val="en-US" w:eastAsia="zh-CN"/>
              </w:rPr>
              <w:t>4 钛锭加工</w:t>
            </w:r>
            <w:r>
              <w:rPr>
                <w:rFonts w:hint="default" w:ascii="Times New Roman" w:hAnsi="Times New Roman" w:eastAsia="宋体" w:cs="Times New Roman"/>
                <w:b/>
                <w:bCs w:val="0"/>
                <w:color w:val="auto"/>
                <w:sz w:val="21"/>
                <w:szCs w:val="21"/>
                <w:highlight w:val="none"/>
              </w:rPr>
              <w:t>工艺流程及产污环节图</w:t>
            </w:r>
          </w:p>
          <w:p w14:paraId="34A6FA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（3）科研楼各实验室涉及的主要检验、检测方法实验流程</w:t>
            </w:r>
            <w:r>
              <w:rPr>
                <w:rFonts w:hint="default" w:ascii="Times New Roman" w:hAnsi="Times New Roman" w:eastAsia="宋体" w:cs="Times New Roman"/>
                <w:color w:val="auto"/>
                <w:kern w:val="0"/>
                <w:sz w:val="24"/>
                <w:szCs w:val="24"/>
                <w:highlight w:val="none"/>
                <w:lang w:val="en-US" w:eastAsia="zh-CN" w:bidi="ar"/>
              </w:rPr>
              <w:t>：</w:t>
            </w:r>
          </w:p>
          <w:p w14:paraId="7EED5D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①ICP成分检测：</w:t>
            </w:r>
          </w:p>
          <w:p w14:paraId="51E31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酸化制样：将寄送到实验室的屑状、粉末或丝状试样编号并登记后，先称取一定质量的样品，加入到锥形瓶或烧杯中，按试验分析方法要求，向锥形瓶或烧杯中加入指定的酸溶解金属样品，一般酸的用量为3~6ml，使溶液pH值保持在4~6之间。</w:t>
            </w:r>
          </w:p>
          <w:p w14:paraId="2D323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b.</w:t>
            </w:r>
            <w:r>
              <w:rPr>
                <w:rFonts w:hint="default" w:ascii="Times New Roman" w:hAnsi="Times New Roman" w:eastAsia="宋体" w:cs="Times New Roman"/>
                <w:color w:val="auto"/>
                <w:kern w:val="0"/>
                <w:sz w:val="24"/>
                <w:szCs w:val="24"/>
                <w:highlight w:val="none"/>
                <w:lang w:val="en-US" w:eastAsia="zh-CN" w:bidi="ar"/>
              </w:rPr>
              <w:t>加热溶样：完成加酸操作后，把锥形瓶或烧杯放在</w:t>
            </w:r>
            <w:r>
              <w:rPr>
                <w:rFonts w:hint="eastAsia" w:cs="Times New Roman"/>
                <w:color w:val="auto"/>
                <w:kern w:val="0"/>
                <w:sz w:val="24"/>
                <w:szCs w:val="24"/>
                <w:highlight w:val="none"/>
                <w:lang w:val="en-US" w:eastAsia="zh-CN" w:bidi="ar"/>
              </w:rPr>
              <w:t>密闭</w:t>
            </w:r>
            <w:r>
              <w:rPr>
                <w:rFonts w:hint="default" w:ascii="Times New Roman" w:hAnsi="Times New Roman" w:eastAsia="宋体" w:cs="Times New Roman"/>
                <w:color w:val="auto"/>
                <w:kern w:val="0"/>
                <w:sz w:val="24"/>
                <w:szCs w:val="24"/>
                <w:highlight w:val="none"/>
                <w:lang w:val="en-US" w:eastAsia="zh-CN" w:bidi="ar"/>
              </w:rPr>
              <w:t>电阻炉</w:t>
            </w:r>
            <w:r>
              <w:rPr>
                <w:rFonts w:hint="eastAsia" w:cs="Times New Roman"/>
                <w:color w:val="auto"/>
                <w:kern w:val="0"/>
                <w:sz w:val="24"/>
                <w:szCs w:val="24"/>
                <w:highlight w:val="none"/>
                <w:lang w:val="en-US" w:eastAsia="zh-CN" w:bidi="ar"/>
              </w:rPr>
              <w:t>内</w:t>
            </w:r>
            <w:r>
              <w:rPr>
                <w:rFonts w:hint="default" w:ascii="Times New Roman" w:hAnsi="Times New Roman" w:eastAsia="宋体" w:cs="Times New Roman"/>
                <w:color w:val="auto"/>
                <w:kern w:val="0"/>
                <w:sz w:val="24"/>
                <w:szCs w:val="24"/>
                <w:highlight w:val="none"/>
                <w:lang w:val="en-US" w:eastAsia="zh-CN" w:bidi="ar"/>
              </w:rPr>
              <w:t>加热到800~1000℃进行溶样，待样品溶解完全后，再移入容量瓶中，并定容至刻线。</w:t>
            </w:r>
          </w:p>
          <w:p w14:paraId="5B9C7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c.</w:t>
            </w:r>
            <w:r>
              <w:rPr>
                <w:rFonts w:hint="default" w:ascii="Times New Roman" w:hAnsi="Times New Roman" w:eastAsia="宋体" w:cs="Times New Roman"/>
                <w:color w:val="auto"/>
                <w:kern w:val="0"/>
                <w:sz w:val="24"/>
                <w:szCs w:val="24"/>
                <w:highlight w:val="none"/>
                <w:lang w:val="en-US" w:eastAsia="zh-CN" w:bidi="ar"/>
              </w:rPr>
              <w:t>ICP分析：用ICP设备测定已制备好的样品溶液，完成试样中化学元素的检测工作，并出具检验报告，样品废液作为危险废物采用专用容器收集后，交由有资质的单位处置。</w:t>
            </w:r>
          </w:p>
          <w:p w14:paraId="3284F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lang w:val="en-US" w:eastAsia="zh-CN" w:bidi="ar"/>
              </w:rPr>
              <w:t>清洗：分析完成后，对实验器皿进行清洗，其中第一遍采用新鲜水清洗，清洗的废液作为危险废物采用专用容器收集后，交由有资质的单位处置；第二、三遍采用纯水清洗，清洗废水中和至中性后经市政管网排入</w:t>
            </w:r>
            <w:r>
              <w:rPr>
                <w:rFonts w:hint="eastAsia" w:cs="Times New Roman"/>
                <w:color w:val="auto"/>
                <w:kern w:val="0"/>
                <w:sz w:val="24"/>
                <w:szCs w:val="24"/>
                <w:highlight w:val="none"/>
                <w:lang w:val="en-US" w:eastAsia="zh-CN" w:bidi="ar"/>
              </w:rPr>
              <w:t>沣西新城大王污水处理厂</w:t>
            </w:r>
            <w:r>
              <w:rPr>
                <w:rFonts w:hint="default" w:ascii="Times New Roman" w:hAnsi="Times New Roman" w:eastAsia="宋体" w:cs="Times New Roman"/>
                <w:color w:val="auto"/>
                <w:kern w:val="0"/>
                <w:sz w:val="24"/>
                <w:szCs w:val="24"/>
                <w:highlight w:val="none"/>
                <w:lang w:val="en-US" w:eastAsia="zh-CN" w:bidi="ar"/>
              </w:rPr>
              <w:t>处理。实验设备定期采用无水乙醇擦拭。</w:t>
            </w:r>
          </w:p>
          <w:p w14:paraId="737F8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e.</w:t>
            </w:r>
            <w:r>
              <w:rPr>
                <w:rFonts w:hint="default" w:ascii="Times New Roman" w:hAnsi="Times New Roman" w:eastAsia="宋体" w:cs="Times New Roman"/>
                <w:color w:val="auto"/>
                <w:kern w:val="0"/>
                <w:sz w:val="24"/>
                <w:szCs w:val="24"/>
                <w:highlight w:val="none"/>
                <w:lang w:val="en-US" w:eastAsia="zh-CN" w:bidi="ar"/>
              </w:rPr>
              <w:t>分析结果、出具报告：根据实验分析结果，进行数据的整理、分析和审核，得出结论，出具相关检验指标的检验报告。</w:t>
            </w:r>
          </w:p>
          <w:p w14:paraId="45A0F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color w:val="auto"/>
                <w:highlight w:val="none"/>
                <w:lang w:val="en-US" w:eastAsia="zh-CN"/>
              </w:rPr>
            </w:pPr>
            <w:r>
              <w:rPr>
                <w:rFonts w:hint="default"/>
                <w:color w:val="auto"/>
                <w:sz w:val="21"/>
                <w:highlight w:val="none"/>
              </w:rPr>
              <mc:AlternateContent>
                <mc:Choice Requires="wps">
                  <w:drawing>
                    <wp:anchor distT="0" distB="0" distL="114300" distR="114300" simplePos="0" relativeHeight="251684864" behindDoc="0" locked="0" layoutInCell="1" allowOverlap="1">
                      <wp:simplePos x="0" y="0"/>
                      <wp:positionH relativeFrom="column">
                        <wp:posOffset>4185285</wp:posOffset>
                      </wp:positionH>
                      <wp:positionV relativeFrom="paragraph">
                        <wp:posOffset>1862455</wp:posOffset>
                      </wp:positionV>
                      <wp:extent cx="914400" cy="44767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9B6BE">
                                  <w:pPr>
                                    <w:rPr>
                                      <w:rFonts w:hint="default" w:eastAsia="宋体"/>
                                      <w:lang w:val="en-US" w:eastAsia="zh-CN"/>
                                    </w:rPr>
                                  </w:pPr>
                                  <w:r>
                                    <w:rPr>
                                      <w:rFonts w:hint="eastAsia"/>
                                      <w:lang w:val="en-US" w:eastAsia="zh-CN"/>
                                    </w:rPr>
                                    <w:t>样品废液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55pt;margin-top:146.65pt;height:35.25pt;width:72pt;z-index:251684864;mso-width-relative:page;mso-height-relative:page;" filled="f" stroked="f" coordsize="21600,21600" o:gfxdata="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ZrdGPcAAAACwEAAA8AAAAAAAAAAQAgAAAAIgAAAGRy&#10;cy9kb3ducmV2LnhtbFBLAQIUABQAAAAIAIdO4kD/invKOgIAAGcEAAAOAAAAAAAAAAEAIAAAACsB&#10;AABkcnMvZTJvRG9jLnhtbFBLBQYAAAAABgAGAFkBAADXBQAAAAA=&#10;">
                      <v:fill on="f" focussize="0,0"/>
                      <v:stroke on="f" weight="0.5pt"/>
                      <v:imagedata o:title=""/>
                      <o:lock v:ext="edit" aspectratio="f"/>
                      <v:textbox>
                        <w:txbxContent>
                          <w:p w14:paraId="0569B6BE">
                            <w:pPr>
                              <w:rPr>
                                <w:rFonts w:hint="default" w:eastAsia="宋体"/>
                                <w:lang w:val="en-US" w:eastAsia="zh-CN"/>
                              </w:rPr>
                            </w:pPr>
                            <w:r>
                              <w:rPr>
                                <w:rFonts w:hint="eastAsia"/>
                                <w:lang w:val="en-US" w:eastAsia="zh-CN"/>
                              </w:rPr>
                              <w:t>样品废液</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83840" behindDoc="0" locked="0" layoutInCell="1" allowOverlap="1">
                      <wp:simplePos x="0" y="0"/>
                      <wp:positionH relativeFrom="column">
                        <wp:posOffset>3679825</wp:posOffset>
                      </wp:positionH>
                      <wp:positionV relativeFrom="paragraph">
                        <wp:posOffset>1991360</wp:posOffset>
                      </wp:positionV>
                      <wp:extent cx="476250" cy="0"/>
                      <wp:effectExtent l="0" t="48895" r="0" b="65405"/>
                      <wp:wrapNone/>
                      <wp:docPr id="7" name="直接箭头连接符 7"/>
                      <wp:cNvGraphicFramePr/>
                      <a:graphic xmlns:a="http://schemas.openxmlformats.org/drawingml/2006/main">
                        <a:graphicData uri="http://schemas.microsoft.com/office/word/2010/wordprocessingShape">
                          <wps:wsp>
                            <wps:cNvCnPr/>
                            <wps:spPr>
                              <a:xfrm>
                                <a:off x="0" y="0"/>
                                <a:ext cx="476250" cy="0"/>
                              </a:xfrm>
                              <a:prstGeom prst="straightConnector1">
                                <a:avLst/>
                              </a:prstGeom>
                              <a:ln w="3175">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9.75pt;margin-top:156.8pt;height:0pt;width:37.5pt;z-index:251683840;mso-width-relative:page;mso-height-relative:page;" filled="f" stroked="t" coordsize="21600,21600" o:gfxdata="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JIyHdcAAAALAQAADwAAAAAAAAABACAAAAAiAAAAZHJzL2Rvd25yZXYueG1s&#10;UEsBAhQAFAAAAAgAh07iQC+H7Yb5AQAAxwMAAA4AAAAAAAAAAQAgAAAAJgEAAGRycy9lMm9Eb2Mu&#10;eG1sUEsFBgAAAAAGAAYAWQEAAJEFAAAAAA==&#10;">
                      <v:fill on="f" focussize="0,0"/>
                      <v:stroke weight="0.25pt" color="#000000 [3213]" joinstyle="round" dashstyle="1 1" endarrow="open"/>
                      <v:imagedata o:title=""/>
                      <o:lock v:ext="edit" aspectratio="f"/>
                    </v:shape>
                  </w:pict>
                </mc:Fallback>
              </mc:AlternateContent>
            </w:r>
            <w:r>
              <w:rPr>
                <w:rFonts w:hint="default"/>
                <w:color w:val="auto"/>
                <w:sz w:val="21"/>
                <w:highlight w:val="none"/>
              </w:rPr>
              <mc:AlternateContent>
                <mc:Choice Requires="wps">
                  <w:drawing>
                    <wp:anchor distT="0" distB="0" distL="114300" distR="114300" simplePos="0" relativeHeight="251682816" behindDoc="0" locked="0" layoutInCell="1" allowOverlap="1">
                      <wp:simplePos x="0" y="0"/>
                      <wp:positionH relativeFrom="column">
                        <wp:posOffset>1212850</wp:posOffset>
                      </wp:positionH>
                      <wp:positionV relativeFrom="paragraph">
                        <wp:posOffset>2522855</wp:posOffset>
                      </wp:positionV>
                      <wp:extent cx="1085215" cy="44767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085215"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75EED">
                                  <w:pPr>
                                    <w:rPr>
                                      <w:rFonts w:hint="default"/>
                                      <w:lang w:val="en-US" w:eastAsia="zh-CN"/>
                                    </w:rPr>
                                  </w:pPr>
                                  <w:r>
                                    <w:rPr>
                                      <w:rFonts w:hint="eastAsia"/>
                                      <w:lang w:val="en-US" w:eastAsia="zh-CN"/>
                                    </w:rPr>
                                    <w:t>实验室废气（挥发性有机物）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pt;margin-top:198.65pt;height:35.25pt;width:85.45pt;z-index:251682816;mso-width-relative:page;mso-height-relative:page;" filled="f" stroked="f" coordsize="21600,21600" o:gfxdata="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tg8cLcAAAACwEAAA8AAAAAAAAAAQAgAAAAIgAA&#10;AGRycy9kb3ducmV2LnhtbFBLAQIUABQAAAAIAIdO4kDtUrKEPQIAAGgEAAAOAAAAAAAAAAEAIAAA&#10;ACsBAABkcnMvZTJvRG9jLnhtbFBLBQYAAAAABgAGAFkBAADaBQAAAAA=&#10;">
                      <v:fill on="f" focussize="0,0"/>
                      <v:stroke on="f" weight="0.5pt"/>
                      <v:imagedata o:title=""/>
                      <o:lock v:ext="edit" aspectratio="f"/>
                      <v:textbox>
                        <w:txbxContent>
                          <w:p w14:paraId="7E675EED">
                            <w:pPr>
                              <w:rPr>
                                <w:rFonts w:hint="default"/>
                                <w:lang w:val="en-US" w:eastAsia="zh-CN"/>
                              </w:rPr>
                            </w:pPr>
                            <w:r>
                              <w:rPr>
                                <w:rFonts w:hint="eastAsia"/>
                                <w:lang w:val="en-US" w:eastAsia="zh-CN"/>
                              </w:rPr>
                              <w:t>实验室废气（挥发性有机物）</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4211955</wp:posOffset>
                      </wp:positionH>
                      <wp:positionV relativeFrom="paragraph">
                        <wp:posOffset>837565</wp:posOffset>
                      </wp:positionV>
                      <wp:extent cx="1112520" cy="81534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112520" cy="815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52D15">
                                  <w:pPr>
                                    <w:rPr>
                                      <w:rFonts w:hint="default" w:eastAsia="宋体"/>
                                      <w:lang w:val="en-US" w:eastAsia="zh-CN"/>
                                    </w:rPr>
                                  </w:pPr>
                                  <w:r>
                                    <w:rPr>
                                      <w:rFonts w:hint="eastAsia"/>
                                      <w:lang w:val="en-US" w:eastAsia="zh-CN"/>
                                    </w:rPr>
                                    <w:t>实验室废气（氯化氢、硫酸雾、氟化物、氮氧化物）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65pt;margin-top:65.95pt;height:64.2pt;width:87.6pt;z-index:251669504;mso-width-relative:page;mso-height-relative:page;" filled="f" stroked="f" coordsize="21600,21600" o:gfxdata="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tG8bbAAAACwEAAA8AAAAAAAAAAQAgAAAAIgAAAGRy&#10;cy9kb3ducmV2LnhtbFBLAQIUABQAAAAIAIdO4kDJd/GIOwIAAGgEAAAOAAAAAAAAAAEAIAAAACoB&#10;AABkcnMvZTJvRG9jLnhtbFBLBQYAAAAABgAGAFkBAADXBQAAAAA=&#10;">
                      <v:fill on="f" focussize="0,0"/>
                      <v:stroke on="f" weight="0.5pt"/>
                      <v:imagedata o:title=""/>
                      <o:lock v:ext="edit" aspectratio="f"/>
                      <v:textbox>
                        <w:txbxContent>
                          <w:p w14:paraId="56E52D15">
                            <w:pPr>
                              <w:rPr>
                                <w:rFonts w:hint="default" w:eastAsia="宋体"/>
                                <w:lang w:val="en-US" w:eastAsia="zh-CN"/>
                              </w:rPr>
                            </w:pPr>
                            <w:r>
                              <w:rPr>
                                <w:rFonts w:hint="eastAsia"/>
                                <w:lang w:val="en-US" w:eastAsia="zh-CN"/>
                              </w:rPr>
                              <w:t>实验室废气（氯化氢、硫酸雾、氟化物、氮氧化物）</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81792" behindDoc="0" locked="0" layoutInCell="1" allowOverlap="1">
                      <wp:simplePos x="0" y="0"/>
                      <wp:positionH relativeFrom="column">
                        <wp:posOffset>1789430</wp:posOffset>
                      </wp:positionH>
                      <wp:positionV relativeFrom="paragraph">
                        <wp:posOffset>2172335</wp:posOffset>
                      </wp:positionV>
                      <wp:extent cx="5080" cy="368300"/>
                      <wp:effectExtent l="48260" t="0" r="60960" b="12700"/>
                      <wp:wrapNone/>
                      <wp:docPr id="35" name="直接箭头连接符 35"/>
                      <wp:cNvGraphicFramePr/>
                      <a:graphic xmlns:a="http://schemas.openxmlformats.org/drawingml/2006/main">
                        <a:graphicData uri="http://schemas.microsoft.com/office/word/2010/wordprocessingShape">
                          <wps:wsp>
                            <wps:cNvCnPr>
                              <a:stCxn id="14" idx="2"/>
                            </wps:cNvCnPr>
                            <wps:spPr>
                              <a:xfrm flipH="1">
                                <a:off x="0" y="0"/>
                                <a:ext cx="5080" cy="368300"/>
                              </a:xfrm>
                              <a:prstGeom prst="straightConnector1">
                                <a:avLst/>
                              </a:prstGeom>
                              <a:ln w="3175">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0.9pt;margin-top:171.05pt;height:29pt;width:0.4pt;z-index:251681792;mso-width-relative:page;mso-height-relative:page;" filled="f" stroked="t" coordsize="21600,21600" o:gfxdata="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fvht2QAAAAsBAAAP&#10;AAAAAAAAAAEAIAAAACIAAABkcnMvZG93bnJldi54bWxQSwECFAAUAAAACACHTuJAQj0hixcCAAD9&#10;AwAADgAAAAAAAAABACAAAAAoAQAAZHJzL2Uyb0RvYy54bWxQSwUGAAAAAAYABgBZAQAAsQUAAAAA&#10;">
                      <v:fill on="f" focussize="0,0"/>
                      <v:stroke weight="0.25pt" color="#000000 [3213]" joinstyle="round" dashstyle="1 1" endarrow="open"/>
                      <v:imagedata o:title=""/>
                      <o:lock v:ext="edit" aspectratio="f"/>
                    </v:shape>
                  </w:pict>
                </mc:Fallback>
              </mc:AlternateContent>
            </w:r>
            <w:r>
              <w:rPr>
                <w:rFonts w:hint="default"/>
                <w:color w:val="auto"/>
                <w:sz w:val="21"/>
                <w:highlight w:val="none"/>
              </w:rPr>
              <mc:AlternateContent>
                <mc:Choice Requires="wps">
                  <w:drawing>
                    <wp:anchor distT="0" distB="0" distL="114300" distR="114300" simplePos="0" relativeHeight="251680768" behindDoc="0" locked="0" layoutInCell="1" allowOverlap="1">
                      <wp:simplePos x="0" y="0"/>
                      <wp:positionH relativeFrom="column">
                        <wp:posOffset>2430780</wp:posOffset>
                      </wp:positionH>
                      <wp:positionV relativeFrom="paragraph">
                        <wp:posOffset>1950720</wp:posOffset>
                      </wp:positionV>
                      <wp:extent cx="283210" cy="635"/>
                      <wp:effectExtent l="0" t="48895" r="2540" b="64770"/>
                      <wp:wrapNone/>
                      <wp:docPr id="20" name="直接箭头连接符 20"/>
                      <wp:cNvGraphicFramePr/>
                      <a:graphic xmlns:a="http://schemas.openxmlformats.org/drawingml/2006/main">
                        <a:graphicData uri="http://schemas.microsoft.com/office/word/2010/wordprocessingShape">
                          <wps:wsp>
                            <wps:cNvCnPr>
                              <a:stCxn id="14" idx="3"/>
                            </wps:cNvCnPr>
                            <wps:spPr>
                              <a:xfrm flipV="1">
                                <a:off x="3689350" y="4932045"/>
                                <a:ext cx="283210" cy="63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1.4pt;margin-top:153.6pt;height:0.05pt;width:22.3pt;z-index:251680768;mso-width-relative:page;mso-height-relative:page;" filled="f" stroked="t" coordsize="21600,21600" o:gfxdata="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I2I1HZ&#10;AAAACwEAAA8AAAAAAAAAAQAgAAAAIgAAAGRycy9kb3ducmV2LnhtbFBLAQIUABQAAAAIAIdO4kBF&#10;45XvHwIAAAcEAAAOAAAAAAAAAAEAIAAAACgBAABkcnMvZTJvRG9jLnhtbFBLBQYAAAAABgAGAFkB&#10;AAC5BQAAAAA=&#10;">
                      <v:fill on="f" focussize="0,0"/>
                      <v:stroke color="#000000 [3213]" joinstyle="round" endarrow="open"/>
                      <v:imagedata o:title=""/>
                      <o:lock v:ext="edit" aspectratio="f"/>
                    </v:shape>
                  </w:pict>
                </mc:Fallback>
              </mc:AlternateContent>
            </w:r>
            <w:r>
              <w:rPr>
                <w:rFonts w:hint="default"/>
                <w:color w:val="auto"/>
                <w:sz w:val="21"/>
                <w:highlight w:val="none"/>
              </w:rPr>
              <mc:AlternateContent>
                <mc:Choice Requires="wps">
                  <w:drawing>
                    <wp:anchor distT="0" distB="0" distL="114300" distR="114300" simplePos="0" relativeHeight="251679744" behindDoc="0" locked="0" layoutInCell="1" allowOverlap="1">
                      <wp:simplePos x="0" y="0"/>
                      <wp:positionH relativeFrom="column">
                        <wp:posOffset>1157605</wp:posOffset>
                      </wp:positionH>
                      <wp:positionV relativeFrom="paragraph">
                        <wp:posOffset>1729740</wp:posOffset>
                      </wp:positionV>
                      <wp:extent cx="1273175" cy="442595"/>
                      <wp:effectExtent l="5080" t="4445" r="17145" b="10160"/>
                      <wp:wrapNone/>
                      <wp:docPr id="14" name="文本框 14"/>
                      <wp:cNvGraphicFramePr/>
                      <a:graphic xmlns:a="http://schemas.openxmlformats.org/drawingml/2006/main">
                        <a:graphicData uri="http://schemas.microsoft.com/office/word/2010/wordprocessingShape">
                          <wps:wsp>
                            <wps:cNvSpPr txBox="1"/>
                            <wps:spPr>
                              <a:xfrm>
                                <a:off x="1595755" y="5654040"/>
                                <a:ext cx="1273175" cy="442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34046E">
                                  <w:pPr>
                                    <w:rPr>
                                      <w:rFonts w:hint="default" w:eastAsia="宋体"/>
                                      <w:lang w:val="en-US" w:eastAsia="zh-CN"/>
                                    </w:rPr>
                                  </w:pPr>
                                  <w:r>
                                    <w:rPr>
                                      <w:rFonts w:hint="eastAsia"/>
                                      <w:lang w:val="en-US" w:eastAsia="zh-CN"/>
                                    </w:rPr>
                                    <w:t>日常用无水乙醇对实验设备进行擦拭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15pt;margin-top:136.2pt;height:34.85pt;width:100.25pt;z-index:251679744;mso-width-relative:page;mso-height-relative:page;" fillcolor="#FFFFFF [3201]" filled="t" stroked="t" coordsize="21600,21600" o:gfxdata="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3SBU1gAAAAsBAAAPAAAAAAAAAAEAIAAAACIAAABkcnMvZG93bnJldi54bWxQSwECFAAUAAAA&#10;CACHTuJAcehRKWICAADFBAAADgAAAAAAAAABACAAAAAlAQAAZHJzL2Uyb0RvYy54bWxQSwUGAAAA&#10;AAYABgBZAQAA+QUAAAAA&#10;">
                      <v:fill on="t" focussize="0,0"/>
                      <v:stroke weight="0.5pt" color="#000000 [3204]" joinstyle="round"/>
                      <v:imagedata o:title=""/>
                      <o:lock v:ext="edit" aspectratio="f"/>
                      <v:textbox>
                        <w:txbxContent>
                          <w:p w14:paraId="7D34046E">
                            <w:pPr>
                              <w:rPr>
                                <w:rFonts w:hint="default" w:eastAsia="宋体"/>
                                <w:lang w:val="en-US" w:eastAsia="zh-CN"/>
                              </w:rPr>
                            </w:pPr>
                            <w:r>
                              <w:rPr>
                                <w:rFonts w:hint="eastAsia"/>
                                <w:lang w:val="en-US" w:eastAsia="zh-CN"/>
                              </w:rPr>
                              <w:t>日常用无水乙醇对实验设备进行擦拭</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72576" behindDoc="0" locked="0" layoutInCell="1" allowOverlap="1">
                      <wp:simplePos x="0" y="0"/>
                      <wp:positionH relativeFrom="column">
                        <wp:posOffset>4183380</wp:posOffset>
                      </wp:positionH>
                      <wp:positionV relativeFrom="paragraph">
                        <wp:posOffset>2436495</wp:posOffset>
                      </wp:positionV>
                      <wp:extent cx="914400" cy="4476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E24A2">
                                  <w:pPr>
                                    <w:rPr>
                                      <w:rFonts w:hint="default" w:eastAsia="宋体"/>
                                      <w:lang w:val="en-US" w:eastAsia="zh-CN"/>
                                    </w:rPr>
                                  </w:pPr>
                                  <w:r>
                                    <w:rPr>
                                      <w:rFonts w:hint="eastAsia"/>
                                      <w:lang w:val="en-US" w:eastAsia="zh-CN"/>
                                    </w:rPr>
                                    <w:t>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4pt;margin-top:191.85pt;height:35.25pt;width:72pt;z-index:251672576;mso-width-relative:page;mso-height-relative:page;" filled="f" stroked="f" coordsize="21600,21600" o:gfxdata="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X9f3AAAAAsBAAAPAAAAAAAAAAEAIAAAACIAAABk&#10;cnMvZG93bnJldi54bWxQSwECFAAUAAAACACHTuJArBhYpTsCAABnBAAADgAAAAAAAAABACAAAAAr&#10;AQAAZHJzL2Uyb0RvYy54bWxQSwUGAAAAAAYABgBZAQAA2AUAAAAA&#10;">
                      <v:fill on="f" focussize="0,0"/>
                      <v:stroke on="f" weight="0.5pt"/>
                      <v:imagedata o:title=""/>
                      <o:lock v:ext="edit" aspectratio="f"/>
                      <v:textbox>
                        <w:txbxContent>
                          <w:p w14:paraId="525E24A2">
                            <w:pPr>
                              <w:rPr>
                                <w:rFonts w:hint="default" w:eastAsia="宋体"/>
                                <w:lang w:val="en-US" w:eastAsia="zh-CN"/>
                              </w:rPr>
                            </w:pPr>
                            <w:r>
                              <w:rPr>
                                <w:rFonts w:hint="eastAsia"/>
                                <w:lang w:val="en-US" w:eastAsia="zh-CN"/>
                              </w:rPr>
                              <w:t>清洗废水</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3669030</wp:posOffset>
                      </wp:positionH>
                      <wp:positionV relativeFrom="paragraph">
                        <wp:posOffset>2565400</wp:posOffset>
                      </wp:positionV>
                      <wp:extent cx="476250" cy="0"/>
                      <wp:effectExtent l="0" t="48895" r="0" b="65405"/>
                      <wp:wrapNone/>
                      <wp:docPr id="22" name="直接箭头连接符 22"/>
                      <wp:cNvGraphicFramePr/>
                      <a:graphic xmlns:a="http://schemas.openxmlformats.org/drawingml/2006/main">
                        <a:graphicData uri="http://schemas.microsoft.com/office/word/2010/wordprocessingShape">
                          <wps:wsp>
                            <wps:cNvCnPr/>
                            <wps:spPr>
                              <a:xfrm>
                                <a:off x="0" y="0"/>
                                <a:ext cx="476250" cy="0"/>
                              </a:xfrm>
                              <a:prstGeom prst="straightConnector1">
                                <a:avLst/>
                              </a:prstGeom>
                              <a:ln w="3175">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8.9pt;margin-top:202pt;height:0pt;width:37.5pt;z-index:251671552;mso-width-relative:page;mso-height-relative:page;" filled="f" stroked="t" coordsize="21600,21600" o:gfxdata="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YFWVNYAAAALAQAADwAAAAAAAAABACAAAAAiAAAAZHJzL2Rvd25yZXYueG1s&#10;UEsBAhQAFAAAAAgAh07iQLV3EID6AQAAyQMAAA4AAAAAAAAAAQAgAAAAJQEAAGRycy9lMm9Eb2Mu&#10;eG1sUEsFBgAAAAAGAAYAWQEAAJEFAAAAAA==&#10;">
                      <v:fill on="f" focussize="0,0"/>
                      <v:stroke weight="0.25pt" color="#000000 [3213]" joinstyle="round" dashstyle="1 1" endarrow="open"/>
                      <v:imagedata o:title=""/>
                      <o:lock v:ext="edit" aspectratio="f"/>
                    </v:shape>
                  </w:pict>
                </mc:Fallback>
              </mc:AlternateContent>
            </w:r>
            <w:r>
              <w:rPr>
                <w:rFonts w:hint="default"/>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3678555</wp:posOffset>
                      </wp:positionH>
                      <wp:positionV relativeFrom="paragraph">
                        <wp:posOffset>1245235</wp:posOffset>
                      </wp:positionV>
                      <wp:extent cx="533400" cy="228600"/>
                      <wp:effectExtent l="1905" t="4445" r="17145" b="14605"/>
                      <wp:wrapNone/>
                      <wp:docPr id="21" name="直接连接符 21"/>
                      <wp:cNvGraphicFramePr/>
                      <a:graphic xmlns:a="http://schemas.openxmlformats.org/drawingml/2006/main">
                        <a:graphicData uri="http://schemas.microsoft.com/office/word/2010/wordprocessingShape">
                          <wps:wsp>
                            <wps:cNvCnPr>
                              <a:endCxn id="19" idx="1"/>
                            </wps:cNvCnPr>
                            <wps:spPr>
                              <a:xfrm flipV="1">
                                <a:off x="4928235" y="4213225"/>
                                <a:ext cx="533400" cy="228600"/>
                              </a:xfrm>
                              <a:prstGeom prst="line">
                                <a:avLst/>
                              </a:prstGeom>
                              <a:ln w="3175">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89.65pt;margin-top:98.05pt;height:18pt;width:42pt;z-index:251670528;mso-width-relative:page;mso-height-relative:page;" filled="f" stroked="t" coordsize="21600,21600" o:gfxdata="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uYwwtoAAAALAQAADwAAAAAAAAABACAAAAAiAAAA&#10;ZHJzL2Rvd25yZXYueG1sUEsBAhQAFAAAAAgAh07iQJLR1swFAgAA3wMAAA4AAAAAAAAAAQAgAAAA&#10;KQEAAGRycy9lMm9Eb2MueG1sUEsFBgAAAAAGAAYAWQEAAKAFAAAAAA==&#10;">
                      <v:fill on="f" focussize="0,0"/>
                      <v:stroke weight="0.25pt" color="#000000 [3213]" joinstyle="round" dashstyle="1 1"/>
                      <v:imagedata o:title=""/>
                      <o:lock v:ext="edit" aspectratio="f"/>
                    </v:line>
                  </w:pict>
                </mc:Fallback>
              </mc:AlternateContent>
            </w:r>
            <w:r>
              <w:rPr>
                <w:rFonts w:hint="default"/>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3688080</wp:posOffset>
                      </wp:positionH>
                      <wp:positionV relativeFrom="paragraph">
                        <wp:posOffset>902335</wp:posOffset>
                      </wp:positionV>
                      <wp:extent cx="523875" cy="342900"/>
                      <wp:effectExtent l="2540" t="3810" r="6985" b="15240"/>
                      <wp:wrapNone/>
                      <wp:docPr id="18" name="直接箭头连接符 18"/>
                      <wp:cNvGraphicFramePr/>
                      <a:graphic xmlns:a="http://schemas.openxmlformats.org/drawingml/2006/main">
                        <a:graphicData uri="http://schemas.microsoft.com/office/word/2010/wordprocessingShape">
                          <wps:wsp>
                            <wps:cNvCnPr>
                              <a:endCxn id="19" idx="1"/>
                            </wps:cNvCnPr>
                            <wps:spPr>
                              <a:xfrm>
                                <a:off x="4928235" y="3860800"/>
                                <a:ext cx="523875" cy="342900"/>
                              </a:xfrm>
                              <a:prstGeom prst="straightConnector1">
                                <a:avLst/>
                              </a:prstGeom>
                              <a:ln w="3175">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90.4pt;margin-top:71.05pt;height:27pt;width:41.25pt;z-index:251668480;mso-width-relative:page;mso-height-relative:page;" filled="f" stroked="t" coordsize="21600,21600" o:gfxdata="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0nSVbXAAAACwEA&#10;AA8AAAAAAAAAAQAgAAAAIgAAAGRycy9kb3ducmV2LnhtbFBLAQIUABQAAAAIAIdO4kChWzNuGwIA&#10;AAIEAAAOAAAAAAAAAAEAIAAAACYBAABkcnMvZTJvRG9jLnhtbFBLBQYAAAAABgAGAFkBAACzBQAA&#10;AAA=&#10;">
                      <v:fill on="f" focussize="0,0"/>
                      <v:stroke weight="0.25pt" color="#000000 [3213]" joinstyle="round" dashstyle="1 1" endarrow="open"/>
                      <v:imagedata o:title=""/>
                      <o:lock v:ext="edit" aspectratio="f"/>
                    </v:shape>
                  </w:pict>
                </mc:Fallback>
              </mc:AlternateContent>
            </w:r>
            <w:r>
              <w:rPr>
                <w:rFonts w:hint="default"/>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2916555</wp:posOffset>
                      </wp:positionH>
                      <wp:positionV relativeFrom="paragraph">
                        <wp:posOffset>2426335</wp:posOffset>
                      </wp:positionV>
                      <wp:extent cx="914400" cy="914400"/>
                      <wp:effectExtent l="0" t="0" r="0" b="0"/>
                      <wp:wrapNone/>
                      <wp:docPr id="17" name="文本框 17"/>
                      <wp:cNvGraphicFramePr/>
                      <a:graphic xmlns:a="http://schemas.openxmlformats.org/drawingml/2006/main">
                        <a:graphicData uri="http://schemas.microsoft.com/office/word/2010/wordprocessingShape">
                          <wps:wsp>
                            <wps:cNvSpPr txBox="1"/>
                            <wps:spPr>
                              <a:xfrm>
                                <a:off x="4251960" y="549338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133B6">
                                  <w:pPr>
                                    <w:rPr>
                                      <w:rFonts w:hint="eastAsia" w:eastAsia="宋体"/>
                                      <w:lang w:val="en-US" w:eastAsia="zh-CN"/>
                                    </w:rPr>
                                  </w:pPr>
                                  <w:r>
                                    <w:rPr>
                                      <w:rFonts w:hint="eastAsia"/>
                                      <w:lang w:val="en-US" w:eastAsia="zh-CN"/>
                                    </w:rPr>
                                    <w:t>清洗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65pt;margin-top:191.05pt;height:72pt;width:72pt;z-index:251667456;mso-width-relative:page;mso-height-relative:page;" filled="f" stroked="f" coordsize="21600,21600" o:gfxdata="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mVNyjcAAAACwEAAA8AAAAAAAAAAQAg&#10;AAAAIgAAAGRycy9kb3ducmV2LnhtbFBLAQIUABQAAAAIAIdO4kDbtSWtQwIAAHMEAAAOAAAAAAAA&#10;AAEAIAAAACsBAABkcnMvZTJvRG9jLnhtbFBLBQYAAAAABgAGAFkBAADgBQAAAAA=&#10;">
                      <v:fill on="f" focussize="0,0"/>
                      <v:stroke on="f" weight="0.5pt"/>
                      <v:imagedata o:title=""/>
                      <o:lock v:ext="edit" aspectratio="f"/>
                      <v:textbox>
                        <w:txbxContent>
                          <w:p w14:paraId="7F3133B6">
                            <w:pPr>
                              <w:rPr>
                                <w:rFonts w:hint="eastAsia" w:eastAsia="宋体"/>
                                <w:lang w:val="en-US" w:eastAsia="zh-CN"/>
                              </w:rPr>
                            </w:pPr>
                            <w:r>
                              <w:rPr>
                                <w:rFonts w:hint="eastAsia"/>
                                <w:lang w:val="en-US" w:eastAsia="zh-CN"/>
                              </w:rPr>
                              <w:t>清洗</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2954655</wp:posOffset>
                      </wp:positionH>
                      <wp:positionV relativeFrom="paragraph">
                        <wp:posOffset>2483485</wp:posOffset>
                      </wp:positionV>
                      <wp:extent cx="504825" cy="152400"/>
                      <wp:effectExtent l="12700" t="12700" r="15875" b="25400"/>
                      <wp:wrapNone/>
                      <wp:docPr id="15" name="矩形 15"/>
                      <wp:cNvGraphicFramePr/>
                      <a:graphic xmlns:a="http://schemas.openxmlformats.org/drawingml/2006/main">
                        <a:graphicData uri="http://schemas.microsoft.com/office/word/2010/wordprocessingShape">
                          <wps:wsp>
                            <wps:cNvSpPr/>
                            <wps:spPr>
                              <a:xfrm>
                                <a:off x="4213860" y="5464810"/>
                                <a:ext cx="504825" cy="1524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65pt;margin-top:195.55pt;height:12pt;width:39.75pt;z-index:251666432;v-text-anchor:middle;mso-width-relative:page;mso-height-relative:page;" fillcolor="#FFFFFF [3212]" filled="t" stroked="t" coordsize="21600,21600" o:gfxdata="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WPVktoAAAALAQAADwAAAAAAAAABACAAAAAiAAAAZHJzL2Rvd25yZXYu&#10;eG1sUEsBAhQAFAAAAAgAh07iQJkzFB9rAgAA6gQAAA4AAAAAAAAAAQAgAAAAKQEAAGRycy9lMm9E&#10;b2MueG1sUEsFBgAAAAAGAAYAWQEAAAYGAAAAAA==&#10;">
                      <v:fill on="t" focussize="0,0"/>
                      <v:stroke weight="2pt" color="#FFFFFF [3212]" joinstyle="round"/>
                      <v:imagedata o:title=""/>
                      <o:lock v:ext="edit" aspectratio="f"/>
                    </v:rect>
                  </w:pict>
                </mc:Fallback>
              </mc:AlternateContent>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919095" cy="4023995"/>
                  <wp:effectExtent l="0" t="0" r="0" b="0"/>
                  <wp:docPr id="13" name="图片 13" descr="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组织结构图"/>
                          <pic:cNvPicPr>
                            <a:picLocks noChangeAspect="1"/>
                          </pic:cNvPicPr>
                        </pic:nvPicPr>
                        <pic:blipFill>
                          <a:blip r:embed="rId12"/>
                          <a:stretch>
                            <a:fillRect/>
                          </a:stretch>
                        </pic:blipFill>
                        <pic:spPr>
                          <a:xfrm>
                            <a:off x="0" y="0"/>
                            <a:ext cx="2919095" cy="4023995"/>
                          </a:xfrm>
                          <a:prstGeom prst="rect">
                            <a:avLst/>
                          </a:prstGeom>
                        </pic:spPr>
                      </pic:pic>
                    </a:graphicData>
                  </a:graphic>
                </wp:inline>
              </w:drawing>
            </w:r>
          </w:p>
          <w:p w14:paraId="7240F3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val="0"/>
                <w:color w:val="auto"/>
                <w:sz w:val="21"/>
                <w:szCs w:val="21"/>
                <w:highlight w:val="none"/>
                <w:lang w:val="en-US" w:eastAsia="zh-CN"/>
              </w:rPr>
              <w:t>图2</w:t>
            </w:r>
            <w:r>
              <w:rPr>
                <w:rFonts w:hint="default" w:ascii="Times New Roman" w:hAnsi="Times New Roman" w:eastAsia="宋体" w:cs="Times New Roman"/>
                <w:b/>
                <w:bCs w:val="0"/>
                <w:color w:val="auto"/>
                <w:sz w:val="21"/>
                <w:szCs w:val="21"/>
                <w:highlight w:val="none"/>
              </w:rPr>
              <w:t>-</w:t>
            </w:r>
            <w:r>
              <w:rPr>
                <w:rFonts w:hint="eastAsia" w:cs="Times New Roman"/>
                <w:b/>
                <w:bCs w:val="0"/>
                <w:color w:val="auto"/>
                <w:sz w:val="21"/>
                <w:szCs w:val="21"/>
                <w:highlight w:val="none"/>
                <w:lang w:val="en-US" w:eastAsia="zh-CN"/>
              </w:rPr>
              <w:t>5 ICP成分检测</w:t>
            </w:r>
            <w:r>
              <w:rPr>
                <w:rFonts w:hint="default" w:ascii="Times New Roman" w:hAnsi="Times New Roman" w:eastAsia="宋体" w:cs="Times New Roman"/>
                <w:b/>
                <w:bCs w:val="0"/>
                <w:color w:val="auto"/>
                <w:sz w:val="21"/>
                <w:szCs w:val="21"/>
                <w:highlight w:val="none"/>
              </w:rPr>
              <w:t>流程及产污环节图</w:t>
            </w:r>
          </w:p>
          <w:p w14:paraId="59F22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②C、S和O、N、H元素分析：</w:t>
            </w:r>
          </w:p>
          <w:p w14:paraId="22BE80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本项目主要采用碳硫分析仪、氢分析仪和氧氮分析仪对试样分别进行C、H、O、S、N的元素含量测定，具体测定方法如下：</w:t>
            </w:r>
          </w:p>
          <w:p w14:paraId="25003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碳、硫分析试验：</w:t>
            </w:r>
          </w:p>
          <w:p w14:paraId="05D65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碳硫分析仪原理：将要进行分析的试样放入陶瓷坩埚中，并一同在高频感应炉中加热，使试样熔融，碳和硫在载气氧气气氛中，生成CO、CO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、SO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，生成的氧化物被氧气载入到硫检测池测定硫，然后，含有CO、CO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、SO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的混合气体一并进入到热催化炉中，CO转化为CO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，SO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转化为SO</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，这种混合气体经过除硫试剂管吸收后，CO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导入碳检测池测定碳，测得的结果直接传输到计算机界面</w:t>
            </w:r>
            <w:r>
              <w:rPr>
                <w:rFonts w:hint="eastAsia" w:ascii="Times New Roman" w:hAnsi="Times New Roman" w:eastAsia="宋体" w:cs="Times New Roman"/>
                <w:color w:val="auto"/>
                <w:kern w:val="0"/>
                <w:sz w:val="24"/>
                <w:szCs w:val="24"/>
                <w:highlight w:val="none"/>
                <w:lang w:val="en-US" w:eastAsia="zh-CN" w:bidi="ar"/>
              </w:rPr>
              <w:t>。</w:t>
            </w:r>
          </w:p>
          <w:p w14:paraId="34045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检验步骤：试样登记和编号后，依次放入已编号的40ml烧杯中并倒入乙醚溶液（若是ϕ3棒料，还需用断线钳先把棒料剪切成粒状样品），用乙醚溶液清洗试样表层的油污，当试样在乙醚溶液中浸泡一段时间后，最后把乙醚清洗液倒入指定的废液收集瓶中，待试样在通风橱下自然风干后，称取适量试样于陶瓷坩埚中，然后把陶瓷坩埚推入分析设备中，用碳硫分析仪直接进行碳、硫元素测定。</w:t>
            </w:r>
          </w:p>
          <w:p w14:paraId="7A7D5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氢分析试验：</w:t>
            </w:r>
          </w:p>
          <w:p w14:paraId="1C6CB6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氢分析仪原理：将剪切的粒状样品放入石墨坩埚中，并一同在脉冲炉中加热，使粒状样品熔融，样品中的氢转化成H</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，释放出的H</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在惰性氩气气氛中，被吹入到高灵敏度热导检测器中进行检测，直接检测出样品中氢的含量，测得的结果直接传输到计算机界面。</w:t>
            </w:r>
          </w:p>
          <w:p w14:paraId="20CDE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检验步骤：把ϕ3棒料试样进行登记和编号后，接着用断线钳把棒料试样剪切成粒状样品，再把粒状样品依次放入已编号的40ml烧杯中并倒入乙醚溶液，用乙醚溶液清洗粒状样品表层的油污，当粒状样品在乙醚溶液中浸泡一段时间后，最后把乙醚清洗液倒入指定的废液收集瓶中，待粒状样品在通风橱下自然风干后，直接把粒状样品投入分析设备中，用氢分析仪直接进行氢元素测定。</w:t>
            </w:r>
          </w:p>
          <w:p w14:paraId="4806B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氧、氮分析试验</w:t>
            </w:r>
          </w:p>
          <w:p w14:paraId="02C372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氧氮分析仪原理：将剪切的粒状样品放入石墨坩埚中，并一同在脉冲炉中加热，使粒状样品熔融，释放出的气体在惰性氦气气氛中，先经过一个质量流量控制器后，它们接着进入检测系统，样品中的氧与石墨坩埚反应生成CO和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，它们进入红外检测器被检测，气体接着进入催化炉，CO被氧化为CO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并进入红外检测池检测，完成氧的测定，随后CO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被过滤试剂去除，专利的动态流量补偿系统保持剩余气体流量恒定进入热导池，最后完成氮的测定。</w:t>
            </w:r>
          </w:p>
          <w:p w14:paraId="2EE8E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检验步骤：把ϕ3棒料试样进行登记和编号后，接着用断线钳把棒料试样剪切成粒状样品，再把粒状样品依次放入已编号的40ml烧杯中并倒入乙醚溶液，用乙醚溶液清洗粒状样品表层的油污，当粒状样品在乙醚溶液中浸泡一段时间后，最后把乙醚清洗液倒入指定的废液收集瓶中，待粒状样品在通风橱下自然风干后，直接把粒状样品投入分析设备中，用氧氮分析仪直接进行氧、氮元素测定。</w:t>
            </w:r>
          </w:p>
          <w:p w14:paraId="5642B5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bCs w:val="0"/>
                <w:color w:val="auto"/>
                <w:sz w:val="21"/>
                <w:szCs w:val="21"/>
                <w:highlight w:val="none"/>
                <w:lang w:val="en-US" w:eastAsia="zh-CN"/>
              </w:rPr>
            </w:pP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4151630" cy="3799205"/>
                  <wp:effectExtent l="0" t="0" r="0" b="0"/>
                  <wp:docPr id="43" name="ECB019B1-382A-4266-B25C-5B523AA43C14-2" descr="C:/Users/lenovo/AppData/Local/Temp/wps.SUVgg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CB019B1-382A-4266-B25C-5B523AA43C14-2" descr="C:/Users/lenovo/AppData/Local/Temp/wps.SUVgghwps"/>
                          <pic:cNvPicPr>
                            <a:picLocks noChangeAspect="1"/>
                          </pic:cNvPicPr>
                        </pic:nvPicPr>
                        <pic:blipFill>
                          <a:blip r:embed="rId13"/>
                          <a:stretch>
                            <a:fillRect/>
                          </a:stretch>
                        </pic:blipFill>
                        <pic:spPr>
                          <a:xfrm>
                            <a:off x="0" y="0"/>
                            <a:ext cx="4151630" cy="3799205"/>
                          </a:xfrm>
                          <a:prstGeom prst="rect">
                            <a:avLst/>
                          </a:prstGeom>
                        </pic:spPr>
                      </pic:pic>
                    </a:graphicData>
                  </a:graphic>
                </wp:inline>
              </w:drawing>
            </w:r>
          </w:p>
          <w:p w14:paraId="4D765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val="0"/>
                <w:color w:val="auto"/>
                <w:sz w:val="21"/>
                <w:szCs w:val="21"/>
                <w:highlight w:val="none"/>
                <w:lang w:val="en-US" w:eastAsia="zh-CN"/>
              </w:rPr>
              <w:t>图2</w:t>
            </w:r>
            <w:r>
              <w:rPr>
                <w:rFonts w:hint="default" w:ascii="Times New Roman" w:hAnsi="Times New Roman" w:eastAsia="宋体" w:cs="Times New Roman"/>
                <w:b/>
                <w:bCs w:val="0"/>
                <w:color w:val="auto"/>
                <w:sz w:val="21"/>
                <w:szCs w:val="21"/>
                <w:highlight w:val="none"/>
              </w:rPr>
              <w:t>-</w:t>
            </w:r>
            <w:r>
              <w:rPr>
                <w:rFonts w:hint="eastAsia" w:cs="Times New Roman"/>
                <w:b/>
                <w:bCs w:val="0"/>
                <w:color w:val="auto"/>
                <w:sz w:val="21"/>
                <w:szCs w:val="21"/>
                <w:highlight w:val="none"/>
                <w:lang w:val="en-US" w:eastAsia="zh-CN"/>
              </w:rPr>
              <w:t>6  C、S和O、N、H元素分析</w:t>
            </w:r>
            <w:r>
              <w:rPr>
                <w:rFonts w:hint="default" w:ascii="Times New Roman" w:hAnsi="Times New Roman" w:eastAsia="宋体" w:cs="Times New Roman"/>
                <w:b/>
                <w:bCs w:val="0"/>
                <w:color w:val="auto"/>
                <w:sz w:val="21"/>
                <w:szCs w:val="21"/>
                <w:highlight w:val="none"/>
              </w:rPr>
              <w:t>流程及产污环节图</w:t>
            </w:r>
          </w:p>
          <w:p w14:paraId="2E386C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14:paraId="66C21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③金相检测</w:t>
            </w:r>
            <w:r>
              <w:rPr>
                <w:rFonts w:hint="default" w:ascii="Times New Roman" w:hAnsi="Times New Roman" w:eastAsia="宋体" w:cs="Times New Roman"/>
                <w:color w:val="auto"/>
                <w:kern w:val="0"/>
                <w:sz w:val="24"/>
                <w:szCs w:val="24"/>
                <w:highlight w:val="none"/>
                <w:lang w:val="en-US" w:eastAsia="zh-CN" w:bidi="ar"/>
              </w:rPr>
              <w:t>：机加工制样用到的设备为车床、水切割、抛光机，根据样品大小选择是否进行镶嵌，再用砂纸进行抛光，在显微镜下进行观察测试</w:t>
            </w:r>
            <w:r>
              <w:rPr>
                <w:rFonts w:hint="eastAsia" w:ascii="Times New Roman" w:hAnsi="Times New Roman" w:eastAsia="宋体" w:cs="Times New Roman"/>
                <w:color w:val="auto"/>
                <w:kern w:val="0"/>
                <w:sz w:val="24"/>
                <w:szCs w:val="24"/>
                <w:highlight w:val="none"/>
                <w:lang w:val="en-US" w:eastAsia="zh-CN" w:bidi="ar"/>
              </w:rPr>
              <w:t>。</w:t>
            </w:r>
          </w:p>
          <w:p w14:paraId="1D778B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color w:val="auto"/>
                <w:sz w:val="21"/>
                <w:highlight w:val="none"/>
              </w:rPr>
              <mc:AlternateContent>
                <mc:Choice Requires="wps">
                  <w:drawing>
                    <wp:anchor distT="0" distB="0" distL="114300" distR="114300" simplePos="0" relativeHeight="251678720" behindDoc="0" locked="0" layoutInCell="1" allowOverlap="1">
                      <wp:simplePos x="0" y="0"/>
                      <wp:positionH relativeFrom="column">
                        <wp:posOffset>3850005</wp:posOffset>
                      </wp:positionH>
                      <wp:positionV relativeFrom="paragraph">
                        <wp:posOffset>2842895</wp:posOffset>
                      </wp:positionV>
                      <wp:extent cx="914400" cy="44767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CA2D9">
                                  <w:pPr>
                                    <w:rPr>
                                      <w:rFonts w:hint="default" w:eastAsia="宋体"/>
                                      <w:lang w:val="en-US" w:eastAsia="zh-CN"/>
                                    </w:rPr>
                                  </w:pPr>
                                  <w:r>
                                    <w:rPr>
                                      <w:rFonts w:hint="eastAsia"/>
                                      <w:lang w:val="en-US" w:eastAsia="zh-CN"/>
                                    </w:rPr>
                                    <w:t>废金属屑、噪声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15pt;margin-top:223.85pt;height:35.25pt;width:72pt;z-index:251678720;mso-width-relative:page;mso-height-relative:page;" filled="f" stroked="f" coordsize="21600,21600" o:gfxdata="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6okHZ3AAAAAsBAAAPAAAAAAAAAAEAIAAAACIAAABk&#10;cnMvZG93bnJldi54bWxQSwECFAAUAAAACACHTuJAOWMOLjsCAABnBAAADgAAAAAAAAABACAAAAAr&#10;AQAAZHJzL2Uyb0RvYy54bWxQSwUGAAAAAAYABgBZAQAA2AUAAAAA&#10;">
                      <v:fill on="f" focussize="0,0"/>
                      <v:stroke on="f" weight="0.5pt"/>
                      <v:imagedata o:title=""/>
                      <o:lock v:ext="edit" aspectratio="f"/>
                      <v:textbox>
                        <w:txbxContent>
                          <w:p w14:paraId="4F1CA2D9">
                            <w:pPr>
                              <w:rPr>
                                <w:rFonts w:hint="default" w:eastAsia="宋体"/>
                                <w:lang w:val="en-US" w:eastAsia="zh-CN"/>
                              </w:rPr>
                            </w:pPr>
                            <w:r>
                              <w:rPr>
                                <w:rFonts w:hint="eastAsia"/>
                                <w:lang w:val="en-US" w:eastAsia="zh-CN"/>
                              </w:rPr>
                              <w:t>废金属屑、噪声</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77696" behindDoc="0" locked="0" layoutInCell="1" allowOverlap="1">
                      <wp:simplePos x="0" y="0"/>
                      <wp:positionH relativeFrom="column">
                        <wp:posOffset>3392805</wp:posOffset>
                      </wp:positionH>
                      <wp:positionV relativeFrom="paragraph">
                        <wp:posOffset>3004185</wp:posOffset>
                      </wp:positionV>
                      <wp:extent cx="476250" cy="0"/>
                      <wp:effectExtent l="0" t="48895" r="0" b="65405"/>
                      <wp:wrapNone/>
                      <wp:docPr id="32" name="直接箭头连接符 32"/>
                      <wp:cNvGraphicFramePr/>
                      <a:graphic xmlns:a="http://schemas.openxmlformats.org/drawingml/2006/main">
                        <a:graphicData uri="http://schemas.microsoft.com/office/word/2010/wordprocessingShape">
                          <wps:wsp>
                            <wps:cNvCnPr/>
                            <wps:spPr>
                              <a:xfrm>
                                <a:off x="0" y="0"/>
                                <a:ext cx="476250" cy="0"/>
                              </a:xfrm>
                              <a:prstGeom prst="straightConnector1">
                                <a:avLst/>
                              </a:prstGeom>
                              <a:ln w="3175">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7.15pt;margin-top:236.55pt;height:0pt;width:37.5pt;z-index:251677696;mso-width-relative:page;mso-height-relative:page;" filled="f" stroked="t" coordsize="21600,21600" o:gfxdata="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2A4/j1gAAAAsBAAAPAAAAAAAAAAEAIAAAACIAAABkcnMvZG93bnJldi54bWxQ&#10;SwECFAAUAAAACACHTuJAbRho5PkBAADJAwAADgAAAAAAAAABACAAAAAlAQAAZHJzL2Uyb0RvYy54&#10;bWxQSwUGAAAAAAYABgBZAQAAkAUAAAAA&#10;">
                      <v:fill on="f" focussize="0,0"/>
                      <v:stroke weight="0.25pt" color="#000000 [3213]" joinstyle="round" dashstyle="1 1" endarrow="open"/>
                      <v:imagedata o:title=""/>
                      <o:lock v:ext="edit" aspectratio="f"/>
                    </v:shape>
                  </w:pict>
                </mc:Fallback>
              </mc:AlternateContent>
            </w:r>
            <w:r>
              <w:rPr>
                <w:rFonts w:hint="default"/>
                <w:color w:val="auto"/>
                <w:sz w:val="21"/>
                <w:highlight w:val="none"/>
              </w:rPr>
              <mc:AlternateContent>
                <mc:Choice Requires="wps">
                  <w:drawing>
                    <wp:anchor distT="0" distB="0" distL="114300" distR="114300" simplePos="0" relativeHeight="251676672" behindDoc="0" locked="0" layoutInCell="1" allowOverlap="1">
                      <wp:simplePos x="0" y="0"/>
                      <wp:positionH relativeFrom="column">
                        <wp:posOffset>3869055</wp:posOffset>
                      </wp:positionH>
                      <wp:positionV relativeFrom="paragraph">
                        <wp:posOffset>1547495</wp:posOffset>
                      </wp:positionV>
                      <wp:extent cx="914400" cy="44767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AE0A7">
                                  <w:pPr>
                                    <w:rPr>
                                      <w:rFonts w:hint="default" w:eastAsia="宋体"/>
                                      <w:lang w:val="en-US" w:eastAsia="zh-CN"/>
                                    </w:rPr>
                                  </w:pPr>
                                  <w:r>
                                    <w:rPr>
                                      <w:rFonts w:hint="eastAsia"/>
                                      <w:lang w:val="en-US" w:eastAsia="zh-CN"/>
                                    </w:rPr>
                                    <w:t>废金属屑、噪声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65pt;margin-top:121.85pt;height:35.25pt;width:72pt;z-index:251676672;mso-width-relative:page;mso-height-relative:page;" filled="f" stroked="f" coordsize="21600,21600" o:gfxdata="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ZTc+vcAAAACwEAAA8AAAAAAAAAAQAgAAAAIgAAAGRy&#10;cy9kb3ducmV2LnhtbFBLAQIUABQAAAAIAIdO4kDMm/kkOgIAAGcEAAAOAAAAAAAAAAEAIAAAACsB&#10;AABkcnMvZTJvRG9jLnhtbFBLBQYAAAAABgAGAFkBAADXBQAAAAA=&#10;">
                      <v:fill on="f" focussize="0,0"/>
                      <v:stroke on="f" weight="0.5pt"/>
                      <v:imagedata o:title=""/>
                      <o:lock v:ext="edit" aspectratio="f"/>
                      <v:textbox>
                        <w:txbxContent>
                          <w:p w14:paraId="027AE0A7">
                            <w:pPr>
                              <w:rPr>
                                <w:rFonts w:hint="default" w:eastAsia="宋体"/>
                                <w:lang w:val="en-US" w:eastAsia="zh-CN"/>
                              </w:rPr>
                            </w:pPr>
                            <w:r>
                              <w:rPr>
                                <w:rFonts w:hint="eastAsia"/>
                                <w:lang w:val="en-US" w:eastAsia="zh-CN"/>
                              </w:rPr>
                              <w:t>废金属屑、噪声</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75648" behindDoc="0" locked="0" layoutInCell="1" allowOverlap="1">
                      <wp:simplePos x="0" y="0"/>
                      <wp:positionH relativeFrom="column">
                        <wp:posOffset>3383280</wp:posOffset>
                      </wp:positionH>
                      <wp:positionV relativeFrom="paragraph">
                        <wp:posOffset>1689735</wp:posOffset>
                      </wp:positionV>
                      <wp:extent cx="476250" cy="0"/>
                      <wp:effectExtent l="0" t="48895" r="0" b="65405"/>
                      <wp:wrapNone/>
                      <wp:docPr id="30" name="直接箭头连接符 30"/>
                      <wp:cNvGraphicFramePr/>
                      <a:graphic xmlns:a="http://schemas.openxmlformats.org/drawingml/2006/main">
                        <a:graphicData uri="http://schemas.microsoft.com/office/word/2010/wordprocessingShape">
                          <wps:wsp>
                            <wps:cNvCnPr/>
                            <wps:spPr>
                              <a:xfrm>
                                <a:off x="0" y="0"/>
                                <a:ext cx="476250" cy="0"/>
                              </a:xfrm>
                              <a:prstGeom prst="straightConnector1">
                                <a:avLst/>
                              </a:prstGeom>
                              <a:ln w="3175">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6.4pt;margin-top:133.05pt;height:0pt;width:37.5pt;z-index:251675648;mso-width-relative:page;mso-height-relative:page;" filled="f" stroked="t" coordsize="21600,21600" o:gfxdata="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PbubzVAAAACwEAAA8AAAAAAAAAAQAgAAAAIgAAAGRycy9kb3ducmV2LnhtbFBL&#10;AQIUABQAAAAIAIdO4kBfKObD+QEAAMkDAAAOAAAAAAAAAAEAIAAAACQBAABkcnMvZTJvRG9jLnht&#10;bFBLBQYAAAAABgAGAFkBAACPBQAAAAA=&#10;">
                      <v:fill on="f" focussize="0,0"/>
                      <v:stroke weight="0.25pt" color="#000000 [3213]" joinstyle="round" dashstyle="1 1" endarrow="open"/>
                      <v:imagedata o:title=""/>
                      <o:lock v:ext="edit" aspectratio="f"/>
                    </v:shape>
                  </w:pict>
                </mc:Fallback>
              </mc:AlternateContent>
            </w:r>
            <w:r>
              <w:rPr>
                <w:rFonts w:hint="default"/>
                <w:color w:val="auto"/>
                <w:sz w:val="21"/>
                <w:highlight w:val="none"/>
              </w:rPr>
              <mc:AlternateContent>
                <mc:Choice Requires="wps">
                  <w:drawing>
                    <wp:anchor distT="0" distB="0" distL="114300" distR="114300" simplePos="0" relativeHeight="251674624" behindDoc="0" locked="0" layoutInCell="1" allowOverlap="1">
                      <wp:simplePos x="0" y="0"/>
                      <wp:positionH relativeFrom="column">
                        <wp:posOffset>3869055</wp:posOffset>
                      </wp:positionH>
                      <wp:positionV relativeFrom="paragraph">
                        <wp:posOffset>937895</wp:posOffset>
                      </wp:positionV>
                      <wp:extent cx="914400" cy="44767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DABD0B">
                                  <w:pPr>
                                    <w:rPr>
                                      <w:rFonts w:hint="default"/>
                                      <w:lang w:val="en-US" w:eastAsia="zh-CN"/>
                                    </w:rPr>
                                  </w:pPr>
                                  <w:r>
                                    <w:rPr>
                                      <w:rFonts w:hint="eastAsia"/>
                                      <w:lang w:val="en-US" w:eastAsia="zh-CN"/>
                                    </w:rPr>
                                    <w:t>废边角料、噪声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65pt;margin-top:73.85pt;height:35.25pt;width:72pt;z-index:251674624;mso-width-relative:page;mso-height-relative:page;" filled="f" stroked="f" coordsize="21600,21600" o:gfxdata="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R2Fe3AAAAAsBAAAPAAAAAAAAAAEAIAAAACIAAABk&#10;cnMvZG93bnJldi54bWxQSwECFAAUAAAACACHTuJAjQNwhDsCAABnBAAADgAAAAAAAAABACAAAAAr&#10;AQAAZHJzL2Uyb0RvYy54bWxQSwUGAAAAAAYABgBZAQAA2AUAAAAA&#10;">
                      <v:fill on="f" focussize="0,0"/>
                      <v:stroke on="f" weight="0.5pt"/>
                      <v:imagedata o:title=""/>
                      <o:lock v:ext="edit" aspectratio="f"/>
                      <v:textbox>
                        <w:txbxContent>
                          <w:p w14:paraId="33DABD0B">
                            <w:pPr>
                              <w:rPr>
                                <w:rFonts w:hint="default"/>
                                <w:lang w:val="en-US" w:eastAsia="zh-CN"/>
                              </w:rPr>
                            </w:pPr>
                            <w:r>
                              <w:rPr>
                                <w:rFonts w:hint="eastAsia"/>
                                <w:lang w:val="en-US" w:eastAsia="zh-CN"/>
                              </w:rPr>
                              <w:t>废边角料、噪声</w:t>
                            </w:r>
                          </w:p>
                        </w:txbxContent>
                      </v:textbox>
                    </v:shape>
                  </w:pict>
                </mc:Fallback>
              </mc:AlternateContent>
            </w:r>
            <w:r>
              <w:rPr>
                <w:rFonts w:hint="default"/>
                <w:color w:val="auto"/>
                <w:sz w:val="21"/>
                <w:highlight w:val="none"/>
              </w:rPr>
              <mc:AlternateContent>
                <mc:Choice Requires="wps">
                  <w:drawing>
                    <wp:anchor distT="0" distB="0" distL="114300" distR="114300" simplePos="0" relativeHeight="251673600" behindDoc="0" locked="0" layoutInCell="1" allowOverlap="1">
                      <wp:simplePos x="0" y="0"/>
                      <wp:positionH relativeFrom="column">
                        <wp:posOffset>3383280</wp:posOffset>
                      </wp:positionH>
                      <wp:positionV relativeFrom="paragraph">
                        <wp:posOffset>1080135</wp:posOffset>
                      </wp:positionV>
                      <wp:extent cx="476250" cy="0"/>
                      <wp:effectExtent l="0" t="48895" r="0" b="65405"/>
                      <wp:wrapNone/>
                      <wp:docPr id="28" name="直接箭头连接符 28"/>
                      <wp:cNvGraphicFramePr/>
                      <a:graphic xmlns:a="http://schemas.openxmlformats.org/drawingml/2006/main">
                        <a:graphicData uri="http://schemas.microsoft.com/office/word/2010/wordprocessingShape">
                          <wps:wsp>
                            <wps:cNvCnPr/>
                            <wps:spPr>
                              <a:xfrm>
                                <a:off x="0" y="0"/>
                                <a:ext cx="476250" cy="0"/>
                              </a:xfrm>
                              <a:prstGeom prst="straightConnector1">
                                <a:avLst/>
                              </a:prstGeom>
                              <a:ln w="3175">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6.4pt;margin-top:85.05pt;height:0pt;width:37.5pt;z-index:251673600;mso-width-relative:page;mso-height-relative:page;" filled="f" stroked="t" coordsize="21600,21600" o:gfxdata="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091h1QAAAAsBAAAPAAAAAAAAAAEAIAAAACIAAABkcnMvZG93bnJldi54bWxQ&#10;SwECFAAUAAAACACHTuJAT4emOfoBAADJAwAADgAAAAAAAAABACAAAAAkAQAAZHJzL2Uyb0RvYy54&#10;bWxQSwUGAAAAAAYABgBZAQAAkAUAAAAA&#10;">
                      <v:fill on="f" focussize="0,0"/>
                      <v:stroke weight="0.25pt" color="#000000 [3213]" joinstyle="round" dashstyle="1 1" endarrow="open"/>
                      <v:imagedata o:title=""/>
                      <o:lock v:ext="edit" aspectratio="f"/>
                    </v:shape>
                  </w:pict>
                </mc:Fallback>
              </mc:AlternateContent>
            </w:r>
            <w:r>
              <w:rPr>
                <w:rFonts w:hint="default"/>
                <w:color w:val="auto"/>
                <w:highlight w:val="none"/>
              </w:rPr>
              <w:drawing>
                <wp:inline distT="0" distB="0" distL="114300" distR="114300">
                  <wp:extent cx="1696720" cy="5289550"/>
                  <wp:effectExtent l="0" t="0" r="17780" b="635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1696720" cy="5289550"/>
                          </a:xfrm>
                          <a:prstGeom prst="rect">
                            <a:avLst/>
                          </a:prstGeom>
                          <a:noFill/>
                          <a:ln>
                            <a:noFill/>
                          </a:ln>
                        </pic:spPr>
                      </pic:pic>
                    </a:graphicData>
                  </a:graphic>
                </wp:inline>
              </w:drawing>
            </w:r>
          </w:p>
          <w:p w14:paraId="5666DE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val="0"/>
                <w:color w:val="auto"/>
                <w:sz w:val="21"/>
                <w:szCs w:val="21"/>
                <w:highlight w:val="none"/>
                <w:lang w:val="en-US" w:eastAsia="zh-CN"/>
              </w:rPr>
              <w:t>图2</w:t>
            </w:r>
            <w:r>
              <w:rPr>
                <w:rFonts w:hint="default" w:ascii="Times New Roman" w:hAnsi="Times New Roman" w:eastAsia="宋体" w:cs="Times New Roman"/>
                <w:b/>
                <w:bCs w:val="0"/>
                <w:color w:val="auto"/>
                <w:sz w:val="21"/>
                <w:szCs w:val="21"/>
                <w:highlight w:val="none"/>
              </w:rPr>
              <w:t>-</w:t>
            </w:r>
            <w:r>
              <w:rPr>
                <w:rFonts w:hint="eastAsia" w:cs="Times New Roman"/>
                <w:b/>
                <w:bCs w:val="0"/>
                <w:color w:val="auto"/>
                <w:sz w:val="21"/>
                <w:szCs w:val="21"/>
                <w:highlight w:val="none"/>
                <w:lang w:val="en-US" w:eastAsia="zh-CN"/>
              </w:rPr>
              <w:t>7  金相检测</w:t>
            </w:r>
            <w:r>
              <w:rPr>
                <w:rFonts w:hint="default" w:ascii="Times New Roman" w:hAnsi="Times New Roman" w:eastAsia="宋体" w:cs="Times New Roman"/>
                <w:b/>
                <w:bCs w:val="0"/>
                <w:color w:val="auto"/>
                <w:sz w:val="21"/>
                <w:szCs w:val="21"/>
                <w:highlight w:val="none"/>
              </w:rPr>
              <w:t>流程及产污环节图</w:t>
            </w:r>
          </w:p>
          <w:p w14:paraId="7E9B1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14:paraId="49628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④力学性能检测</w:t>
            </w:r>
            <w:r>
              <w:rPr>
                <w:rFonts w:hint="default" w:ascii="Times New Roman" w:hAnsi="Times New Roman" w:eastAsia="宋体" w:cs="Times New Roman"/>
                <w:color w:val="auto"/>
                <w:kern w:val="0"/>
                <w:sz w:val="24"/>
                <w:szCs w:val="24"/>
                <w:highlight w:val="none"/>
                <w:lang w:val="en-US" w:eastAsia="zh-CN" w:bidi="ar"/>
              </w:rPr>
              <w:t>：样品根据检测需求进行金相磨抛，尺寸测量等制样后，根据需要检测的性能，选用试验机，随后记录数据，检验结束</w:t>
            </w:r>
            <w:r>
              <w:rPr>
                <w:rFonts w:hint="eastAsia" w:ascii="Times New Roman" w:hAnsi="Times New Roman" w:eastAsia="宋体" w:cs="Times New Roman"/>
                <w:color w:val="auto"/>
                <w:kern w:val="0"/>
                <w:sz w:val="24"/>
                <w:szCs w:val="24"/>
                <w:highlight w:val="none"/>
                <w:lang w:val="en-US" w:eastAsia="zh-CN" w:bidi="ar"/>
              </w:rPr>
              <w:t>。</w:t>
            </w:r>
          </w:p>
          <w:p w14:paraId="7382C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color w:val="auto"/>
                <w:highlight w:val="none"/>
              </w:rPr>
              <w:drawing>
                <wp:inline distT="0" distB="0" distL="114300" distR="114300">
                  <wp:extent cx="4448175" cy="1601470"/>
                  <wp:effectExtent l="0" t="0" r="9525" b="1778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5"/>
                          <a:stretch>
                            <a:fillRect/>
                          </a:stretch>
                        </pic:blipFill>
                        <pic:spPr>
                          <a:xfrm>
                            <a:off x="0" y="0"/>
                            <a:ext cx="4448175" cy="1601470"/>
                          </a:xfrm>
                          <a:prstGeom prst="rect">
                            <a:avLst/>
                          </a:prstGeom>
                          <a:noFill/>
                          <a:ln>
                            <a:noFill/>
                          </a:ln>
                        </pic:spPr>
                      </pic:pic>
                    </a:graphicData>
                  </a:graphic>
                </wp:inline>
              </w:drawing>
            </w:r>
          </w:p>
          <w:p w14:paraId="7A04E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val="0"/>
                <w:color w:val="auto"/>
                <w:sz w:val="21"/>
                <w:szCs w:val="21"/>
                <w:highlight w:val="none"/>
                <w:lang w:val="en-US" w:eastAsia="zh-CN"/>
              </w:rPr>
              <w:t>图2</w:t>
            </w:r>
            <w:r>
              <w:rPr>
                <w:rFonts w:hint="default" w:ascii="Times New Roman" w:hAnsi="Times New Roman" w:eastAsia="宋体" w:cs="Times New Roman"/>
                <w:b/>
                <w:bCs w:val="0"/>
                <w:color w:val="auto"/>
                <w:sz w:val="21"/>
                <w:szCs w:val="21"/>
                <w:highlight w:val="none"/>
              </w:rPr>
              <w:t>-</w:t>
            </w:r>
            <w:r>
              <w:rPr>
                <w:rFonts w:hint="eastAsia" w:cs="Times New Roman"/>
                <w:b/>
                <w:bCs w:val="0"/>
                <w:color w:val="auto"/>
                <w:sz w:val="21"/>
                <w:szCs w:val="21"/>
                <w:highlight w:val="none"/>
                <w:lang w:val="en-US" w:eastAsia="zh-CN"/>
              </w:rPr>
              <w:t>8 力学性能检测</w:t>
            </w:r>
            <w:r>
              <w:rPr>
                <w:rFonts w:hint="default" w:ascii="Times New Roman" w:hAnsi="Times New Roman" w:eastAsia="宋体" w:cs="Times New Roman"/>
                <w:b/>
                <w:bCs w:val="0"/>
                <w:color w:val="auto"/>
                <w:sz w:val="21"/>
                <w:szCs w:val="21"/>
                <w:highlight w:val="none"/>
              </w:rPr>
              <w:t>流程</w:t>
            </w:r>
          </w:p>
          <w:p w14:paraId="1B12C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14:paraId="2FF26C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14:paraId="51793D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eastAsia="zh-CN"/>
              </w:rPr>
              <w:t>主要产污环节及污染因子见</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eastAsia="zh-CN"/>
              </w:rPr>
              <w:t>表：</w:t>
            </w:r>
          </w:p>
          <w:p w14:paraId="515DF512">
            <w:pPr>
              <w:keepNext w:val="0"/>
              <w:keepLines w:val="0"/>
              <w:suppressLineNumbers w:val="0"/>
              <w:spacing w:before="0" w:beforeAutospacing="0" w:after="0" w:afterAutospacing="0" w:line="240" w:lineRule="auto"/>
              <w:ind w:left="0" w:right="0" w:firstLine="48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本项目产污环节</w:t>
            </w:r>
            <w:r>
              <w:rPr>
                <w:rFonts w:hint="default" w:ascii="Times New Roman" w:hAnsi="Times New Roman" w:eastAsia="宋体" w:cs="Times New Roman"/>
                <w:b/>
                <w:color w:val="auto"/>
                <w:sz w:val="21"/>
                <w:szCs w:val="21"/>
                <w:highlight w:val="none"/>
                <w:lang w:val="en-US" w:eastAsia="zh-CN"/>
              </w:rPr>
              <w:t>汇总一览</w:t>
            </w:r>
            <w:r>
              <w:rPr>
                <w:rFonts w:hint="default" w:ascii="Times New Roman" w:hAnsi="Times New Roman" w:eastAsia="宋体" w:cs="Times New Roman"/>
                <w:b/>
                <w:color w:val="auto"/>
                <w:sz w:val="21"/>
                <w:szCs w:val="21"/>
                <w:highlight w:val="none"/>
              </w:rPr>
              <w:t>表</w:t>
            </w:r>
          </w:p>
          <w:tbl>
            <w:tblPr>
              <w:tblStyle w:val="10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51"/>
              <w:gridCol w:w="1373"/>
              <w:gridCol w:w="1574"/>
              <w:gridCol w:w="4660"/>
            </w:tblGrid>
            <w:tr w14:paraId="44DA87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449" w:type="pct"/>
                  <w:tcBorders>
                    <w:tl2br w:val="nil"/>
                    <w:tr2bl w:val="nil"/>
                  </w:tcBorders>
                  <w:vAlign w:val="center"/>
                </w:tcPr>
                <w:p w14:paraId="02D9F39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类别</w:t>
                  </w:r>
                </w:p>
              </w:tc>
              <w:tc>
                <w:tcPr>
                  <w:tcW w:w="821" w:type="pct"/>
                  <w:tcBorders>
                    <w:tl2br w:val="nil"/>
                    <w:tr2bl w:val="nil"/>
                  </w:tcBorders>
                  <w:vAlign w:val="center"/>
                </w:tcPr>
                <w:p w14:paraId="5573B25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产生点</w:t>
                  </w:r>
                </w:p>
              </w:tc>
              <w:tc>
                <w:tcPr>
                  <w:tcW w:w="941" w:type="pct"/>
                  <w:tcBorders>
                    <w:tl2br w:val="nil"/>
                    <w:tr2bl w:val="nil"/>
                  </w:tcBorders>
                  <w:vAlign w:val="center"/>
                </w:tcPr>
                <w:p w14:paraId="4E168D5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污染物</w:t>
                  </w:r>
                </w:p>
              </w:tc>
              <w:tc>
                <w:tcPr>
                  <w:tcW w:w="2787" w:type="pct"/>
                  <w:tcBorders>
                    <w:tl2br w:val="nil"/>
                    <w:tr2bl w:val="nil"/>
                  </w:tcBorders>
                  <w:vAlign w:val="center"/>
                </w:tcPr>
                <w:p w14:paraId="2171C32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治理措施</w:t>
                  </w:r>
                </w:p>
              </w:tc>
            </w:tr>
            <w:tr w14:paraId="2F3572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449" w:type="pct"/>
                  <w:vMerge w:val="restart"/>
                  <w:tcBorders>
                    <w:tl2br w:val="nil"/>
                    <w:tr2bl w:val="nil"/>
                  </w:tcBorders>
                  <w:vAlign w:val="center"/>
                </w:tcPr>
                <w:p w14:paraId="2BC8F4B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废气</w:t>
                  </w:r>
                </w:p>
              </w:tc>
              <w:tc>
                <w:tcPr>
                  <w:tcW w:w="821" w:type="pct"/>
                  <w:tcBorders>
                    <w:tl2br w:val="nil"/>
                    <w:tr2bl w:val="nil"/>
                  </w:tcBorders>
                  <w:vAlign w:val="center"/>
                </w:tcPr>
                <w:p w14:paraId="5C5143B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焊接</w:t>
                  </w:r>
                </w:p>
              </w:tc>
              <w:tc>
                <w:tcPr>
                  <w:tcW w:w="941" w:type="pct"/>
                  <w:tcBorders>
                    <w:tl2br w:val="nil"/>
                    <w:tr2bl w:val="nil"/>
                  </w:tcBorders>
                  <w:vAlign w:val="center"/>
                </w:tcPr>
                <w:p w14:paraId="518EAD8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颗粒物</w:t>
                  </w:r>
                </w:p>
              </w:tc>
              <w:tc>
                <w:tcPr>
                  <w:tcW w:w="2787" w:type="pct"/>
                  <w:tcBorders>
                    <w:tl2br w:val="nil"/>
                    <w:tr2bl w:val="nil"/>
                  </w:tcBorders>
                  <w:vAlign w:val="center"/>
                </w:tcPr>
                <w:p w14:paraId="25FE041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焊烟净化器</w:t>
                  </w:r>
                </w:p>
              </w:tc>
            </w:tr>
            <w:tr w14:paraId="69805A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449" w:type="pct"/>
                  <w:vMerge w:val="continue"/>
                  <w:tcBorders>
                    <w:tl2br w:val="nil"/>
                    <w:tr2bl w:val="nil"/>
                  </w:tcBorders>
                  <w:vAlign w:val="center"/>
                </w:tcPr>
                <w:p w14:paraId="28E99C4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821" w:type="pct"/>
                  <w:tcBorders>
                    <w:tl2br w:val="nil"/>
                    <w:tr2bl w:val="nil"/>
                  </w:tcBorders>
                  <w:vAlign w:val="center"/>
                </w:tcPr>
                <w:p w14:paraId="6AABC74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ascii="Times New Roman" w:hAnsi="Times New Roman" w:eastAsia="宋体" w:cs="Times New Roman"/>
                      <w:bCs/>
                      <w:snapToGrid/>
                      <w:color w:val="auto"/>
                      <w:kern w:val="2"/>
                      <w:sz w:val="21"/>
                      <w:szCs w:val="21"/>
                      <w:highlight w:val="none"/>
                      <w:lang w:val="en-US" w:eastAsia="zh-CN"/>
                    </w:rPr>
                    <w:t>科研实验</w:t>
                  </w:r>
                </w:p>
              </w:tc>
              <w:tc>
                <w:tcPr>
                  <w:tcW w:w="941" w:type="pct"/>
                  <w:tcBorders>
                    <w:tl2br w:val="nil"/>
                    <w:tr2bl w:val="nil"/>
                  </w:tcBorders>
                  <w:vAlign w:val="center"/>
                </w:tcPr>
                <w:p w14:paraId="32A94B39">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eastAsia" w:ascii="Times New Roman" w:hAnsi="Times New Roman" w:eastAsia="宋体" w:cs="Times New Roman"/>
                      <w:bCs/>
                      <w:snapToGrid/>
                      <w:color w:val="auto"/>
                      <w:kern w:val="2"/>
                      <w:sz w:val="21"/>
                      <w:szCs w:val="21"/>
                      <w:highlight w:val="none"/>
                      <w:lang w:val="en-US" w:eastAsia="zh-CN"/>
                    </w:rPr>
                  </w:pPr>
                  <w:r>
                    <w:rPr>
                      <w:rFonts w:hint="eastAsia" w:ascii="Times New Roman" w:hAnsi="Times New Roman" w:eastAsia="宋体" w:cs="Times New Roman"/>
                      <w:bCs/>
                      <w:snapToGrid/>
                      <w:color w:val="auto"/>
                      <w:kern w:val="2"/>
                      <w:sz w:val="21"/>
                      <w:szCs w:val="21"/>
                      <w:highlight w:val="none"/>
                      <w:lang w:val="en-US" w:eastAsia="zh-CN"/>
                    </w:rPr>
                    <w:t>实验室废气</w:t>
                  </w:r>
                  <w:r>
                    <w:rPr>
                      <w:rFonts w:hint="eastAsia"/>
                      <w:color w:val="auto"/>
                      <w:highlight w:val="none"/>
                      <w:lang w:eastAsia="zh-CN"/>
                    </w:rPr>
                    <w:t>（</w:t>
                  </w:r>
                  <w:r>
                    <w:rPr>
                      <w:rFonts w:hint="eastAsia"/>
                      <w:color w:val="auto"/>
                      <w:highlight w:val="none"/>
                      <w:lang w:val="en-US" w:eastAsia="zh-CN"/>
                    </w:rPr>
                    <w:t>氯化氢</w:t>
                  </w:r>
                  <w:r>
                    <w:rPr>
                      <w:rFonts w:hint="eastAsia" w:ascii="Times New Roman" w:hAnsi="Times New Roman" w:eastAsia="宋体" w:cs="Times New Roman"/>
                      <w:color w:val="auto"/>
                      <w:highlight w:val="none"/>
                      <w:lang w:val="en-US" w:eastAsia="zh-CN"/>
                    </w:rPr>
                    <w:t>、硫酸雾、氟化物、氮氧化物、非甲烷</w:t>
                  </w:r>
                  <w:r>
                    <w:rPr>
                      <w:rFonts w:hint="eastAsia"/>
                      <w:color w:val="auto"/>
                      <w:highlight w:val="none"/>
                      <w:lang w:val="en-US" w:eastAsia="zh-CN"/>
                    </w:rPr>
                    <w:t>总烃</w:t>
                  </w:r>
                  <w:r>
                    <w:rPr>
                      <w:rFonts w:hint="eastAsia"/>
                      <w:color w:val="auto"/>
                      <w:highlight w:val="none"/>
                      <w:lang w:eastAsia="zh-CN"/>
                    </w:rPr>
                    <w:t>）</w:t>
                  </w:r>
                </w:p>
              </w:tc>
              <w:tc>
                <w:tcPr>
                  <w:tcW w:w="2787" w:type="pct"/>
                  <w:tcBorders>
                    <w:tl2br w:val="nil"/>
                    <w:tr2bl w:val="nil"/>
                  </w:tcBorders>
                  <w:vAlign w:val="center"/>
                </w:tcPr>
                <w:p w14:paraId="1B7E5C2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cs="Times New Roman"/>
                      <w:color w:val="auto"/>
                      <w:sz w:val="21"/>
                      <w:szCs w:val="21"/>
                      <w:highlight w:val="none"/>
                      <w:lang w:val="en-US" w:eastAsia="zh-CN"/>
                    </w:rPr>
                    <w:t>通风橱+碱式喷淋塔+二级活性炭吸附装置</w:t>
                  </w:r>
                  <w:r>
                    <w:rPr>
                      <w:rFonts w:hint="eastAsia" w:ascii="Times New Roman" w:hAnsi="Times New Roman" w:cs="Times New Roman"/>
                      <w:color w:val="auto"/>
                      <w:sz w:val="21"/>
                      <w:szCs w:val="21"/>
                      <w:highlight w:val="none"/>
                      <w:lang w:val="en-US" w:eastAsia="zh-CN"/>
                    </w:rPr>
                    <w:t>+41米高</w:t>
                  </w:r>
                  <w:r>
                    <w:rPr>
                      <w:rFonts w:hint="default" w:ascii="Times New Roman" w:hAnsi="Times New Roman" w:cs="Times New Roman"/>
                      <w:color w:val="auto"/>
                      <w:sz w:val="21"/>
                      <w:szCs w:val="21"/>
                      <w:highlight w:val="none"/>
                      <w:lang w:val="en-US" w:eastAsia="zh-CN"/>
                    </w:rPr>
                    <w:t>排气筒DA001</w:t>
                  </w:r>
                </w:p>
              </w:tc>
            </w:tr>
            <w:tr w14:paraId="212E00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59" w:hRule="atLeast"/>
                <w:jc w:val="center"/>
              </w:trPr>
              <w:tc>
                <w:tcPr>
                  <w:tcW w:w="449" w:type="pct"/>
                  <w:vMerge w:val="restart"/>
                  <w:tcBorders>
                    <w:tl2br w:val="nil"/>
                    <w:tr2bl w:val="nil"/>
                  </w:tcBorders>
                  <w:vAlign w:val="center"/>
                </w:tcPr>
                <w:p w14:paraId="4EC0C0B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p w14:paraId="318D490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p w14:paraId="10C25F7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p w14:paraId="7FAE774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p w14:paraId="675488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废水</w:t>
                  </w:r>
                </w:p>
              </w:tc>
              <w:tc>
                <w:tcPr>
                  <w:tcW w:w="821" w:type="pct"/>
                  <w:tcBorders>
                    <w:tl2br w:val="nil"/>
                    <w:tr2bl w:val="nil"/>
                  </w:tcBorders>
                  <w:vAlign w:val="center"/>
                </w:tcPr>
                <w:p w14:paraId="191912F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ascii="Times New Roman" w:hAnsi="Times New Roman" w:eastAsia="宋体" w:cs="Times New Roman"/>
                      <w:bCs/>
                      <w:snapToGrid/>
                      <w:color w:val="auto"/>
                      <w:kern w:val="2"/>
                      <w:sz w:val="21"/>
                      <w:szCs w:val="21"/>
                      <w:highlight w:val="none"/>
                      <w:lang w:val="en-US" w:eastAsia="zh-CN"/>
                    </w:rPr>
                    <w:t>生活污水</w:t>
                  </w:r>
                </w:p>
              </w:tc>
              <w:tc>
                <w:tcPr>
                  <w:tcW w:w="941" w:type="pct"/>
                  <w:tcBorders>
                    <w:tl2br w:val="nil"/>
                    <w:tr2bl w:val="nil"/>
                  </w:tcBorders>
                  <w:vAlign w:val="center"/>
                </w:tcPr>
                <w:p w14:paraId="67DD45F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color w:val="auto"/>
                      <w:sz w:val="21"/>
                      <w:szCs w:val="21"/>
                      <w:highlight w:val="none"/>
                    </w:rPr>
                    <w:t>COD、SS、BOD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TP、TN</w:t>
                  </w:r>
                </w:p>
              </w:tc>
              <w:tc>
                <w:tcPr>
                  <w:tcW w:w="2787" w:type="pct"/>
                  <w:tcBorders>
                    <w:tl2br w:val="nil"/>
                    <w:tr2bl w:val="nil"/>
                  </w:tcBorders>
                  <w:vAlign w:val="center"/>
                </w:tcPr>
                <w:p w14:paraId="666D92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近期：</w:t>
                  </w:r>
                  <w:r>
                    <w:rPr>
                      <w:rFonts w:hint="eastAsia" w:ascii="Times New Roman" w:hAnsi="Times New Roman" w:eastAsia="宋体" w:cs="Times New Roman"/>
                      <w:color w:val="auto"/>
                      <w:sz w:val="21"/>
                      <w:szCs w:val="21"/>
                      <w:highlight w:val="none"/>
                      <w:lang w:eastAsia="zh-CN"/>
                    </w:rPr>
                    <w:t>生活污水</w:t>
                  </w:r>
                  <w:r>
                    <w:rPr>
                      <w:rFonts w:hint="eastAsia"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化粪池收集</w:t>
                  </w:r>
                  <w:r>
                    <w:rPr>
                      <w:rFonts w:hint="eastAsia" w:cs="Times New Roman"/>
                      <w:color w:val="auto"/>
                      <w:sz w:val="21"/>
                      <w:szCs w:val="21"/>
                      <w:highlight w:val="none"/>
                      <w:lang w:val="en-US" w:eastAsia="zh-CN"/>
                    </w:rPr>
                    <w:t>后</w:t>
                  </w:r>
                  <w:r>
                    <w:rPr>
                      <w:rFonts w:hint="eastAsia"/>
                      <w:color w:val="auto"/>
                      <w:highlight w:val="none"/>
                    </w:rPr>
                    <w:t>排入厂区的污水收集池</w:t>
                  </w:r>
                  <w:r>
                    <w:rPr>
                      <w:rFonts w:hint="eastAsia"/>
                      <w:color w:val="auto"/>
                      <w:highlight w:val="none"/>
                      <w:lang w:eastAsia="zh-CN"/>
                    </w:rPr>
                    <w:t>，</w:t>
                  </w:r>
                  <w:r>
                    <w:rPr>
                      <w:rFonts w:hint="eastAsia"/>
                      <w:color w:val="auto"/>
                      <w:highlight w:val="none"/>
                    </w:rPr>
                    <w:t>定期</w:t>
                  </w:r>
                  <w:r>
                    <w:rPr>
                      <w:rFonts w:hint="eastAsia"/>
                      <w:color w:val="auto"/>
                      <w:highlight w:val="none"/>
                      <w:lang w:val="en-US" w:eastAsia="zh-CN"/>
                    </w:rPr>
                    <w:t>由</w:t>
                  </w:r>
                  <w:r>
                    <w:rPr>
                      <w:rFonts w:hint="eastAsia"/>
                      <w:color w:val="auto"/>
                      <w:highlight w:val="none"/>
                    </w:rPr>
                    <w:t>槽车拉运至沣西新城大王污水处理厂处理</w:t>
                  </w:r>
                  <w:r>
                    <w:rPr>
                      <w:rFonts w:hint="eastAsia"/>
                      <w:color w:val="auto"/>
                      <w:highlight w:val="none"/>
                      <w:lang w:eastAsia="zh-CN"/>
                    </w:rPr>
                    <w:t>。</w:t>
                  </w:r>
                </w:p>
                <w:p w14:paraId="5A841E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cs="Times New Roman"/>
                      <w:color w:val="auto"/>
                      <w:sz w:val="21"/>
                      <w:szCs w:val="21"/>
                      <w:highlight w:val="none"/>
                      <w:lang w:val="en-US" w:eastAsia="zh-CN"/>
                    </w:rPr>
                    <w:t>远期：</w:t>
                  </w:r>
                  <w:r>
                    <w:rPr>
                      <w:rFonts w:hint="eastAsia" w:ascii="Times New Roman" w:hAnsi="Times New Roman" w:eastAsia="宋体" w:cs="Times New Roman"/>
                      <w:color w:val="auto"/>
                      <w:sz w:val="21"/>
                      <w:szCs w:val="21"/>
                      <w:highlight w:val="none"/>
                      <w:lang w:eastAsia="zh-CN"/>
                    </w:rPr>
                    <w:t>生活污水</w:t>
                  </w:r>
                  <w:r>
                    <w:rPr>
                      <w:rFonts w:hint="eastAsia"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化粪池收集</w:t>
                  </w:r>
                  <w:r>
                    <w:rPr>
                      <w:rFonts w:hint="eastAsia" w:cs="Times New Roman"/>
                      <w:color w:val="auto"/>
                      <w:sz w:val="21"/>
                      <w:szCs w:val="21"/>
                      <w:highlight w:val="none"/>
                      <w:lang w:val="en-US" w:eastAsia="zh-CN"/>
                    </w:rPr>
                    <w:t>后经市政管网排入沣西新城大王污水处理厂深度处理</w:t>
                  </w:r>
                  <w:r>
                    <w:rPr>
                      <w:rFonts w:hint="eastAsia"/>
                      <w:color w:val="auto"/>
                      <w:highlight w:val="none"/>
                      <w:lang w:eastAsia="zh-CN"/>
                    </w:rPr>
                    <w:t>。</w:t>
                  </w:r>
                </w:p>
              </w:tc>
            </w:tr>
            <w:tr w14:paraId="683CE6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8" w:hRule="atLeast"/>
                <w:jc w:val="center"/>
              </w:trPr>
              <w:tc>
                <w:tcPr>
                  <w:tcW w:w="449" w:type="pct"/>
                  <w:vMerge w:val="continue"/>
                  <w:tcBorders>
                    <w:tl2br w:val="nil"/>
                    <w:tr2bl w:val="nil"/>
                  </w:tcBorders>
                  <w:vAlign w:val="center"/>
                </w:tcPr>
                <w:p w14:paraId="28D5AD4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821" w:type="pct"/>
                  <w:tcBorders>
                    <w:tl2br w:val="nil"/>
                    <w:tr2bl w:val="nil"/>
                  </w:tcBorders>
                  <w:vAlign w:val="center"/>
                </w:tcPr>
                <w:p w14:paraId="4E347EE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冷却废水</w:t>
                  </w:r>
                </w:p>
              </w:tc>
              <w:tc>
                <w:tcPr>
                  <w:tcW w:w="941" w:type="pct"/>
                  <w:tcBorders>
                    <w:tl2br w:val="nil"/>
                    <w:tr2bl w:val="nil"/>
                  </w:tcBorders>
                  <w:vAlign w:val="center"/>
                </w:tcPr>
                <w:p w14:paraId="7C81C7D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ascii="Times New Roman" w:hAnsi="Times New Roman" w:eastAsia="宋体" w:cs="Times New Roman"/>
                      <w:bCs/>
                      <w:snapToGrid/>
                      <w:color w:val="auto"/>
                      <w:kern w:val="2"/>
                      <w:sz w:val="21"/>
                      <w:szCs w:val="21"/>
                      <w:highlight w:val="none"/>
                      <w:lang w:val="en-US" w:eastAsia="zh-CN"/>
                    </w:rPr>
                    <w:t>SS</w:t>
                  </w:r>
                </w:p>
              </w:tc>
              <w:tc>
                <w:tcPr>
                  <w:tcW w:w="2787" w:type="pct"/>
                  <w:tcBorders>
                    <w:tl2br w:val="nil"/>
                    <w:tr2bl w:val="nil"/>
                  </w:tcBorders>
                  <w:vAlign w:val="center"/>
                </w:tcPr>
                <w:p w14:paraId="5DE59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近期：设备冷却废水循环利用，定期更换的冷却废水经化粪池收集后</w:t>
                  </w:r>
                  <w:r>
                    <w:rPr>
                      <w:rFonts w:hint="eastAsia"/>
                      <w:color w:val="auto"/>
                      <w:highlight w:val="none"/>
                    </w:rPr>
                    <w:t>排入厂区的污水收集池</w:t>
                  </w:r>
                  <w:r>
                    <w:rPr>
                      <w:rFonts w:hint="eastAsia"/>
                      <w:color w:val="auto"/>
                      <w:highlight w:val="none"/>
                      <w:lang w:eastAsia="zh-CN"/>
                    </w:rPr>
                    <w:t>，</w:t>
                  </w:r>
                  <w:r>
                    <w:rPr>
                      <w:rFonts w:hint="eastAsia"/>
                      <w:color w:val="auto"/>
                      <w:highlight w:val="none"/>
                    </w:rPr>
                    <w:t>定期</w:t>
                  </w:r>
                  <w:r>
                    <w:rPr>
                      <w:rFonts w:hint="eastAsia"/>
                      <w:color w:val="auto"/>
                      <w:highlight w:val="none"/>
                      <w:lang w:val="en-US" w:eastAsia="zh-CN"/>
                    </w:rPr>
                    <w:t>由</w:t>
                  </w:r>
                  <w:r>
                    <w:rPr>
                      <w:rFonts w:hint="eastAsia"/>
                      <w:color w:val="auto"/>
                      <w:highlight w:val="none"/>
                    </w:rPr>
                    <w:t>槽车拉运至沣西新城大王污水处理厂处理</w:t>
                  </w:r>
                  <w:r>
                    <w:rPr>
                      <w:rFonts w:hint="eastAsia"/>
                      <w:color w:val="auto"/>
                      <w:highlight w:val="none"/>
                      <w:lang w:eastAsia="zh-CN"/>
                    </w:rPr>
                    <w:t>。</w:t>
                  </w:r>
                </w:p>
                <w:p w14:paraId="041558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cs="Times New Roman"/>
                      <w:color w:val="auto"/>
                      <w:sz w:val="21"/>
                      <w:szCs w:val="21"/>
                      <w:highlight w:val="none"/>
                      <w:lang w:val="en-US" w:eastAsia="zh-CN"/>
                    </w:rPr>
                    <w:t>远期：设备冷却废水循环利用，定期更换的冷却废水经化粪池收集后由市政管网排入沣西新城大王污水处理厂深度处理。</w:t>
                  </w:r>
                </w:p>
              </w:tc>
            </w:tr>
            <w:tr w14:paraId="277DB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8" w:hRule="atLeast"/>
                <w:jc w:val="center"/>
              </w:trPr>
              <w:tc>
                <w:tcPr>
                  <w:tcW w:w="449" w:type="pct"/>
                  <w:vMerge w:val="continue"/>
                  <w:tcBorders>
                    <w:tl2br w:val="nil"/>
                    <w:tr2bl w:val="nil"/>
                  </w:tcBorders>
                  <w:vAlign w:val="center"/>
                </w:tcPr>
                <w:p w14:paraId="62A10E9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821" w:type="pct"/>
                  <w:tcBorders>
                    <w:tl2br w:val="nil"/>
                    <w:tr2bl w:val="nil"/>
                  </w:tcBorders>
                  <w:vAlign w:val="center"/>
                </w:tcPr>
                <w:p w14:paraId="729B7C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ascii="Times New Roman" w:hAnsi="Times New Roman" w:eastAsia="宋体" w:cs="Times New Roman"/>
                      <w:bCs/>
                      <w:snapToGrid/>
                      <w:color w:val="auto"/>
                      <w:kern w:val="2"/>
                      <w:sz w:val="21"/>
                      <w:szCs w:val="21"/>
                      <w:highlight w:val="none"/>
                      <w:lang w:val="en-US" w:eastAsia="zh-CN"/>
                    </w:rPr>
                    <w:t>切割废水</w:t>
                  </w:r>
                </w:p>
              </w:tc>
              <w:tc>
                <w:tcPr>
                  <w:tcW w:w="941" w:type="pct"/>
                  <w:tcBorders>
                    <w:tl2br w:val="nil"/>
                    <w:tr2bl w:val="nil"/>
                  </w:tcBorders>
                  <w:vAlign w:val="center"/>
                </w:tcPr>
                <w:p w14:paraId="1833F62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ascii="Times New Roman" w:hAnsi="Times New Roman" w:eastAsia="宋体" w:cs="Times New Roman"/>
                      <w:bCs/>
                      <w:snapToGrid/>
                      <w:color w:val="auto"/>
                      <w:kern w:val="2"/>
                      <w:sz w:val="21"/>
                      <w:szCs w:val="21"/>
                      <w:highlight w:val="none"/>
                      <w:lang w:val="en-US" w:eastAsia="zh-CN"/>
                    </w:rPr>
                    <w:t>SS</w:t>
                  </w:r>
                </w:p>
              </w:tc>
              <w:tc>
                <w:tcPr>
                  <w:tcW w:w="2787" w:type="pct"/>
                  <w:tcBorders>
                    <w:tl2br w:val="nil"/>
                    <w:tr2bl w:val="nil"/>
                  </w:tcBorders>
                  <w:shd w:val="clear" w:color="auto" w:fill="auto"/>
                  <w:vAlign w:val="center"/>
                </w:tcPr>
                <w:p w14:paraId="51733B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Arial" w:hAnsi="Arial" w:eastAsia="Arial"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切割废水进入设备自带循环水箱经沉淀后再次循环利用，不外排。</w:t>
                  </w:r>
                </w:p>
              </w:tc>
            </w:tr>
            <w:tr w14:paraId="56ECBD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8" w:hRule="atLeast"/>
                <w:jc w:val="center"/>
              </w:trPr>
              <w:tc>
                <w:tcPr>
                  <w:tcW w:w="449" w:type="pct"/>
                  <w:vMerge w:val="continue"/>
                  <w:tcBorders>
                    <w:tl2br w:val="nil"/>
                    <w:tr2bl w:val="nil"/>
                  </w:tcBorders>
                  <w:vAlign w:val="center"/>
                </w:tcPr>
                <w:p w14:paraId="2C35D23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821" w:type="pct"/>
                  <w:tcBorders>
                    <w:tl2br w:val="nil"/>
                    <w:tr2bl w:val="nil"/>
                  </w:tcBorders>
                  <w:vAlign w:val="center"/>
                </w:tcPr>
                <w:p w14:paraId="431F0A1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cs="Times New Roman"/>
                      <w:color w:val="auto"/>
                      <w:sz w:val="21"/>
                      <w:szCs w:val="21"/>
                      <w:highlight w:val="none"/>
                      <w:lang w:val="en-US" w:eastAsia="zh-CN"/>
                    </w:rPr>
                    <w:t>实验器皿</w:t>
                  </w:r>
                  <w:r>
                    <w:rPr>
                      <w:rFonts w:hint="eastAsia" w:ascii="Times New Roman" w:hAnsi="Times New Roman" w:eastAsia="宋体" w:cs="Times New Roman"/>
                      <w:bCs/>
                      <w:snapToGrid/>
                      <w:color w:val="auto"/>
                      <w:kern w:val="2"/>
                      <w:sz w:val="21"/>
                      <w:szCs w:val="21"/>
                      <w:highlight w:val="none"/>
                      <w:lang w:val="en-US" w:eastAsia="zh-CN"/>
                    </w:rPr>
                    <w:t>清洗废水</w:t>
                  </w:r>
                </w:p>
              </w:tc>
              <w:tc>
                <w:tcPr>
                  <w:tcW w:w="941" w:type="pct"/>
                  <w:tcBorders>
                    <w:tl2br w:val="nil"/>
                    <w:tr2bl w:val="nil"/>
                  </w:tcBorders>
                  <w:vAlign w:val="center"/>
                </w:tcPr>
                <w:p w14:paraId="0A35542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color w:val="auto"/>
                      <w:sz w:val="21"/>
                      <w:szCs w:val="21"/>
                      <w:highlight w:val="none"/>
                    </w:rPr>
                    <w:t>COD、SS、BOD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TN</w:t>
                  </w:r>
                </w:p>
              </w:tc>
              <w:tc>
                <w:tcPr>
                  <w:tcW w:w="2787" w:type="pct"/>
                  <w:tcBorders>
                    <w:tl2br w:val="nil"/>
                    <w:tr2bl w:val="nil"/>
                  </w:tcBorders>
                  <w:shd w:val="clear" w:color="auto" w:fill="auto"/>
                  <w:vAlign w:val="center"/>
                </w:tcPr>
                <w:p w14:paraId="6BE523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实验器皿清洗废水收集在专用容器中，暂存于危险废物贮存库，定期交由有资质单位处置</w:t>
                  </w:r>
                </w:p>
              </w:tc>
            </w:tr>
            <w:tr w14:paraId="5574A6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8" w:hRule="atLeast"/>
                <w:jc w:val="center"/>
              </w:trPr>
              <w:tc>
                <w:tcPr>
                  <w:tcW w:w="449" w:type="pct"/>
                  <w:vMerge w:val="continue"/>
                  <w:tcBorders>
                    <w:tl2br w:val="nil"/>
                    <w:tr2bl w:val="nil"/>
                  </w:tcBorders>
                  <w:vAlign w:val="center"/>
                </w:tcPr>
                <w:p w14:paraId="66C9F0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821" w:type="pct"/>
                  <w:tcBorders>
                    <w:tl2br w:val="nil"/>
                    <w:tr2bl w:val="nil"/>
                  </w:tcBorders>
                  <w:vAlign w:val="center"/>
                </w:tcPr>
                <w:p w14:paraId="493F595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ascii="Times New Roman" w:hAnsi="Times New Roman" w:eastAsia="宋体" w:cs="Times New Roman"/>
                      <w:bCs/>
                      <w:snapToGrid/>
                      <w:color w:val="auto"/>
                      <w:kern w:val="2"/>
                      <w:sz w:val="21"/>
                      <w:szCs w:val="21"/>
                      <w:highlight w:val="none"/>
                      <w:lang w:val="en-US" w:eastAsia="zh-CN"/>
                    </w:rPr>
                    <w:t>乙醚清洗废液</w:t>
                  </w:r>
                </w:p>
              </w:tc>
              <w:tc>
                <w:tcPr>
                  <w:tcW w:w="941" w:type="pct"/>
                  <w:tcBorders>
                    <w:tl2br w:val="nil"/>
                    <w:tr2bl w:val="nil"/>
                  </w:tcBorders>
                  <w:vAlign w:val="center"/>
                </w:tcPr>
                <w:p w14:paraId="7E6E163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乙醚</w:t>
                  </w:r>
                </w:p>
              </w:tc>
              <w:tc>
                <w:tcPr>
                  <w:tcW w:w="2787" w:type="pct"/>
                  <w:tcBorders>
                    <w:tl2br w:val="nil"/>
                    <w:tr2bl w:val="nil"/>
                  </w:tcBorders>
                  <w:shd w:val="clear" w:color="auto" w:fill="auto"/>
                  <w:vAlign w:val="center"/>
                </w:tcPr>
                <w:p w14:paraId="55C6D9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收集在专用容器中，暂存于危险废物贮存库，定期交由有资质单位处置</w:t>
                  </w:r>
                </w:p>
              </w:tc>
            </w:tr>
            <w:tr w14:paraId="546FF9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449" w:type="pct"/>
                  <w:tcBorders>
                    <w:tl2br w:val="nil"/>
                    <w:tr2bl w:val="nil"/>
                  </w:tcBorders>
                  <w:vAlign w:val="center"/>
                </w:tcPr>
                <w:p w14:paraId="38C9410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噪声</w:t>
                  </w:r>
                </w:p>
              </w:tc>
              <w:tc>
                <w:tcPr>
                  <w:tcW w:w="821" w:type="pct"/>
                  <w:tcBorders>
                    <w:tl2br w:val="nil"/>
                    <w:tr2bl w:val="nil"/>
                  </w:tcBorders>
                  <w:vAlign w:val="center"/>
                </w:tcPr>
                <w:p w14:paraId="14E6D15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生产设备</w:t>
                  </w:r>
                </w:p>
              </w:tc>
              <w:tc>
                <w:tcPr>
                  <w:tcW w:w="941" w:type="pct"/>
                  <w:tcBorders>
                    <w:tl2br w:val="nil"/>
                    <w:tr2bl w:val="nil"/>
                  </w:tcBorders>
                  <w:vAlign w:val="center"/>
                </w:tcPr>
                <w:p w14:paraId="1600A0D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噪声</w:t>
                  </w:r>
                </w:p>
              </w:tc>
              <w:tc>
                <w:tcPr>
                  <w:tcW w:w="2787" w:type="pct"/>
                  <w:tcBorders>
                    <w:tl2br w:val="nil"/>
                    <w:tr2bl w:val="nil"/>
                  </w:tcBorders>
                  <w:vAlign w:val="center"/>
                </w:tcPr>
                <w:p w14:paraId="73E5B99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车间内，选用低噪声设备，减震隔声</w:t>
                  </w:r>
                </w:p>
              </w:tc>
            </w:tr>
            <w:tr w14:paraId="3E7FE0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449" w:type="pct"/>
                  <w:vMerge w:val="restart"/>
                  <w:tcBorders>
                    <w:tl2br w:val="nil"/>
                    <w:tr2bl w:val="nil"/>
                  </w:tcBorders>
                  <w:vAlign w:val="center"/>
                </w:tcPr>
                <w:p w14:paraId="6B2C374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固废</w:t>
                  </w:r>
                </w:p>
              </w:tc>
              <w:tc>
                <w:tcPr>
                  <w:tcW w:w="821" w:type="pct"/>
                  <w:vMerge w:val="restart"/>
                  <w:tcBorders>
                    <w:tl2br w:val="nil"/>
                    <w:tr2bl w:val="nil"/>
                  </w:tcBorders>
                  <w:vAlign w:val="center"/>
                </w:tcPr>
                <w:p w14:paraId="7FC7F53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val="en-US" w:eastAsia="zh-CN" w:bidi="ar-SA"/>
                    </w:rPr>
                    <w:t>生产过程</w:t>
                  </w:r>
                </w:p>
              </w:tc>
              <w:tc>
                <w:tcPr>
                  <w:tcW w:w="941" w:type="pct"/>
                  <w:tcBorders>
                    <w:tl2br w:val="nil"/>
                    <w:tr2bl w:val="nil"/>
                  </w:tcBorders>
                  <w:shd w:val="clear" w:color="auto" w:fill="auto"/>
                  <w:vAlign w:val="center"/>
                </w:tcPr>
                <w:p w14:paraId="462FDEB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snapToGrid/>
                      <w:color w:val="auto"/>
                      <w:kern w:val="2"/>
                      <w:sz w:val="21"/>
                      <w:szCs w:val="21"/>
                      <w:highlight w:val="none"/>
                      <w:lang w:val="en-US" w:eastAsia="zh-CN" w:bidi="ar-SA"/>
                    </w:rPr>
                  </w:pPr>
                  <w:r>
                    <w:rPr>
                      <w:rFonts w:hint="eastAsia" w:ascii="Times New Roman" w:hAnsi="Times New Roman" w:eastAsia="宋体" w:cs="Times New Roman"/>
                      <w:bCs/>
                      <w:snapToGrid/>
                      <w:color w:val="auto"/>
                      <w:kern w:val="2"/>
                      <w:sz w:val="21"/>
                      <w:szCs w:val="21"/>
                      <w:highlight w:val="none"/>
                      <w:lang w:val="en-US" w:eastAsia="zh-CN"/>
                    </w:rPr>
                    <w:t>废</w:t>
                  </w:r>
                  <w:r>
                    <w:rPr>
                      <w:rFonts w:hint="default" w:ascii="Times New Roman" w:hAnsi="Times New Roman" w:eastAsia="宋体" w:cs="Times New Roman"/>
                      <w:bCs/>
                      <w:snapToGrid/>
                      <w:color w:val="auto"/>
                      <w:kern w:val="2"/>
                      <w:sz w:val="21"/>
                      <w:szCs w:val="21"/>
                      <w:highlight w:val="none"/>
                      <w:lang w:val="en-US" w:eastAsia="zh-CN"/>
                    </w:rPr>
                    <w:t>边角料</w:t>
                  </w:r>
                  <w:r>
                    <w:rPr>
                      <w:rFonts w:hint="eastAsia" w:ascii="Times New Roman" w:hAnsi="Times New Roman" w:eastAsia="宋体" w:cs="Times New Roman"/>
                      <w:bCs/>
                      <w:snapToGrid/>
                      <w:color w:val="auto"/>
                      <w:kern w:val="2"/>
                      <w:sz w:val="21"/>
                      <w:szCs w:val="21"/>
                      <w:highlight w:val="none"/>
                      <w:lang w:val="en-US" w:eastAsia="zh-CN"/>
                    </w:rPr>
                    <w:t>、废金属屑</w:t>
                  </w:r>
                  <w:r>
                    <w:rPr>
                      <w:rFonts w:hint="eastAsia" w:cs="Times New Roman"/>
                      <w:bCs/>
                      <w:snapToGrid/>
                      <w:color w:val="auto"/>
                      <w:kern w:val="2"/>
                      <w:sz w:val="21"/>
                      <w:szCs w:val="21"/>
                      <w:highlight w:val="none"/>
                      <w:lang w:val="en-US" w:eastAsia="zh-CN"/>
                    </w:rPr>
                    <w:t>、不合格品</w:t>
                  </w:r>
                </w:p>
              </w:tc>
              <w:tc>
                <w:tcPr>
                  <w:tcW w:w="2787" w:type="pct"/>
                  <w:tcBorders>
                    <w:tl2br w:val="nil"/>
                    <w:tr2bl w:val="nil"/>
                  </w:tcBorders>
                  <w:shd w:val="clear" w:color="auto" w:fill="auto"/>
                  <w:vAlign w:val="center"/>
                </w:tcPr>
                <w:p w14:paraId="6A90DC4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snapToGrid/>
                      <w:color w:val="auto"/>
                      <w:kern w:val="2"/>
                      <w:sz w:val="21"/>
                      <w:szCs w:val="21"/>
                      <w:highlight w:val="none"/>
                      <w:lang w:val="en-US" w:eastAsia="zh-CN" w:bidi="ar-SA"/>
                    </w:rPr>
                  </w:pPr>
                  <w:r>
                    <w:rPr>
                      <w:rFonts w:hint="default" w:ascii="Times New Roman" w:hAnsi="Times New Roman" w:eastAsia="宋体" w:cs="Times New Roman"/>
                      <w:bCs/>
                      <w:snapToGrid/>
                      <w:color w:val="auto"/>
                      <w:kern w:val="2"/>
                      <w:sz w:val="21"/>
                      <w:szCs w:val="21"/>
                      <w:highlight w:val="none"/>
                      <w:lang w:val="en-US" w:eastAsia="zh-CN"/>
                    </w:rPr>
                    <w:t>收集后外售</w:t>
                  </w:r>
                </w:p>
              </w:tc>
            </w:tr>
            <w:tr w14:paraId="53EDE5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449" w:type="pct"/>
                  <w:vMerge w:val="continue"/>
                  <w:tcBorders>
                    <w:tl2br w:val="nil"/>
                    <w:tr2bl w:val="nil"/>
                  </w:tcBorders>
                  <w:vAlign w:val="center"/>
                </w:tcPr>
                <w:p w14:paraId="16F4D0C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821" w:type="pct"/>
                  <w:vMerge w:val="continue"/>
                  <w:tcBorders>
                    <w:tl2br w:val="nil"/>
                    <w:tr2bl w:val="nil"/>
                  </w:tcBorders>
                  <w:vAlign w:val="center"/>
                </w:tcPr>
                <w:p w14:paraId="6FA6BD6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941" w:type="pct"/>
                  <w:tcBorders>
                    <w:tl2br w:val="nil"/>
                    <w:tr2bl w:val="nil"/>
                  </w:tcBorders>
                  <w:shd w:val="clear" w:color="auto" w:fill="auto"/>
                  <w:vAlign w:val="center"/>
                </w:tcPr>
                <w:p w14:paraId="2864A48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snapToGrid/>
                      <w:color w:val="auto"/>
                      <w:kern w:val="2"/>
                      <w:sz w:val="21"/>
                      <w:szCs w:val="21"/>
                      <w:highlight w:val="none"/>
                      <w:lang w:val="en-US" w:eastAsia="zh-CN" w:bidi="ar-SA"/>
                    </w:rPr>
                  </w:pPr>
                  <w:r>
                    <w:rPr>
                      <w:rFonts w:hint="default" w:ascii="Times New Roman" w:hAnsi="Times New Roman" w:eastAsia="宋体" w:cs="Times New Roman"/>
                      <w:bCs/>
                      <w:snapToGrid/>
                      <w:color w:val="auto"/>
                      <w:kern w:val="2"/>
                      <w:sz w:val="21"/>
                      <w:szCs w:val="21"/>
                      <w:highlight w:val="none"/>
                      <w:lang w:val="en-US" w:eastAsia="zh-CN"/>
                    </w:rPr>
                    <w:t>废原料包装桶</w:t>
                  </w:r>
                </w:p>
              </w:tc>
              <w:tc>
                <w:tcPr>
                  <w:tcW w:w="2787" w:type="pct"/>
                  <w:tcBorders>
                    <w:tl2br w:val="nil"/>
                    <w:tr2bl w:val="nil"/>
                  </w:tcBorders>
                  <w:shd w:val="clear" w:color="auto" w:fill="auto"/>
                  <w:vAlign w:val="center"/>
                </w:tcPr>
                <w:p w14:paraId="61DAF8C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both"/>
                    <w:textAlignment w:val="auto"/>
                    <w:rPr>
                      <w:rFonts w:hint="default" w:ascii="Times New Roman" w:hAnsi="Times New Roman" w:eastAsia="宋体" w:cs="Times New Roman"/>
                      <w:bCs/>
                      <w:snapToGrid/>
                      <w:color w:val="auto"/>
                      <w:kern w:val="2"/>
                      <w:sz w:val="21"/>
                      <w:szCs w:val="21"/>
                      <w:highlight w:val="none"/>
                      <w:lang w:val="en-US" w:eastAsia="zh-CN" w:bidi="ar-SA"/>
                    </w:rPr>
                  </w:pPr>
                  <w:r>
                    <w:rPr>
                      <w:rFonts w:hint="default" w:ascii="Times New Roman" w:hAnsi="Times New Roman" w:eastAsia="宋体" w:cs="Times New Roman"/>
                      <w:bCs/>
                      <w:snapToGrid/>
                      <w:color w:val="auto"/>
                      <w:kern w:val="2"/>
                      <w:sz w:val="21"/>
                      <w:szCs w:val="21"/>
                      <w:highlight w:val="none"/>
                      <w:lang w:val="en-US" w:eastAsia="zh-CN"/>
                    </w:rPr>
                    <w:t>收集至一般固废暂存区，定期由原料供应单位回收再利用</w:t>
                  </w:r>
                </w:p>
              </w:tc>
            </w:tr>
            <w:tr w14:paraId="6204D5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449" w:type="pct"/>
                  <w:vMerge w:val="continue"/>
                  <w:tcBorders>
                    <w:tl2br w:val="nil"/>
                    <w:tr2bl w:val="nil"/>
                  </w:tcBorders>
                  <w:vAlign w:val="center"/>
                </w:tcPr>
                <w:p w14:paraId="26B5C14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821" w:type="pct"/>
                  <w:vMerge w:val="continue"/>
                  <w:tcBorders>
                    <w:tl2br w:val="nil"/>
                    <w:tr2bl w:val="nil"/>
                  </w:tcBorders>
                  <w:vAlign w:val="center"/>
                </w:tcPr>
                <w:p w14:paraId="59371A1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p>
              </w:tc>
              <w:tc>
                <w:tcPr>
                  <w:tcW w:w="941" w:type="pct"/>
                  <w:tcBorders>
                    <w:tl2br w:val="nil"/>
                    <w:tr2bl w:val="nil"/>
                  </w:tcBorders>
                  <w:shd w:val="clear" w:color="auto" w:fill="auto"/>
                  <w:vAlign w:val="center"/>
                </w:tcPr>
                <w:p w14:paraId="4DD1483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snapToGrid/>
                      <w:color w:val="auto"/>
                      <w:kern w:val="2"/>
                      <w:sz w:val="21"/>
                      <w:szCs w:val="21"/>
                      <w:highlight w:val="none"/>
                      <w:lang w:val="en-US" w:eastAsia="zh-CN" w:bidi="ar-SA"/>
                    </w:rPr>
                  </w:pPr>
                  <w:r>
                    <w:rPr>
                      <w:rFonts w:hint="default" w:ascii="Times New Roman" w:hAnsi="Times New Roman" w:eastAsia="宋体" w:cs="Times New Roman"/>
                      <w:bCs/>
                      <w:snapToGrid/>
                      <w:color w:val="auto"/>
                      <w:kern w:val="2"/>
                      <w:sz w:val="21"/>
                      <w:szCs w:val="21"/>
                      <w:highlight w:val="none"/>
                      <w:lang w:val="en-US" w:eastAsia="zh-CN"/>
                    </w:rPr>
                    <w:t>废液压油</w:t>
                  </w:r>
                  <w:r>
                    <w:rPr>
                      <w:rFonts w:hint="eastAsia" w:ascii="Times New Roman" w:hAnsi="Times New Roman" w:eastAsia="宋体" w:cs="Times New Roman"/>
                      <w:bCs/>
                      <w:snapToGrid/>
                      <w:color w:val="auto"/>
                      <w:kern w:val="2"/>
                      <w:sz w:val="21"/>
                      <w:szCs w:val="21"/>
                      <w:highlight w:val="none"/>
                      <w:lang w:val="en-US" w:eastAsia="zh-CN"/>
                    </w:rPr>
                    <w:t>、</w:t>
                  </w:r>
                  <w:r>
                    <w:rPr>
                      <w:rFonts w:hint="default" w:ascii="Times New Roman" w:hAnsi="Times New Roman" w:eastAsia="宋体" w:cs="Times New Roman"/>
                      <w:bCs/>
                      <w:snapToGrid/>
                      <w:color w:val="auto"/>
                      <w:kern w:val="2"/>
                      <w:sz w:val="21"/>
                      <w:szCs w:val="21"/>
                      <w:highlight w:val="none"/>
                      <w:lang w:val="en-US" w:eastAsia="zh-CN"/>
                    </w:rPr>
                    <w:t>废真空泵油</w:t>
                  </w:r>
                  <w:r>
                    <w:rPr>
                      <w:rFonts w:hint="eastAsia" w:ascii="Times New Roman" w:hAnsi="Times New Roman" w:eastAsia="宋体" w:cs="Times New Roman"/>
                      <w:bCs/>
                      <w:snapToGrid/>
                      <w:color w:val="auto"/>
                      <w:kern w:val="2"/>
                      <w:sz w:val="21"/>
                      <w:szCs w:val="21"/>
                      <w:highlight w:val="none"/>
                      <w:lang w:val="en-US" w:eastAsia="zh-CN"/>
                    </w:rPr>
                    <w:t>、</w:t>
                  </w:r>
                  <w:r>
                    <w:rPr>
                      <w:rFonts w:hint="default" w:ascii="Times New Roman" w:hAnsi="Times New Roman" w:eastAsia="宋体" w:cs="Times New Roman"/>
                      <w:bCs/>
                      <w:snapToGrid/>
                      <w:color w:val="auto"/>
                      <w:kern w:val="2"/>
                      <w:sz w:val="21"/>
                      <w:szCs w:val="21"/>
                      <w:highlight w:val="none"/>
                      <w:lang w:val="en-US" w:eastAsia="zh-CN"/>
                    </w:rPr>
                    <w:t>废切削液</w:t>
                  </w:r>
                  <w:r>
                    <w:rPr>
                      <w:rFonts w:hint="eastAsia" w:ascii="Times New Roman" w:hAnsi="Times New Roman" w:eastAsia="宋体" w:cs="Times New Roman"/>
                      <w:bCs/>
                      <w:snapToGrid/>
                      <w:color w:val="auto"/>
                      <w:kern w:val="2"/>
                      <w:sz w:val="21"/>
                      <w:szCs w:val="21"/>
                      <w:highlight w:val="none"/>
                      <w:lang w:val="en-US" w:eastAsia="zh-CN"/>
                    </w:rPr>
                    <w:t>、</w:t>
                  </w:r>
                  <w:r>
                    <w:rPr>
                      <w:rFonts w:hint="eastAsia" w:cs="Times New Roman"/>
                      <w:color w:val="auto"/>
                      <w:sz w:val="21"/>
                      <w:szCs w:val="21"/>
                      <w:highlight w:val="none"/>
                      <w:lang w:val="en-US" w:eastAsia="zh-CN"/>
                    </w:rPr>
                    <w:t>废活性炭</w:t>
                  </w:r>
                </w:p>
              </w:tc>
              <w:tc>
                <w:tcPr>
                  <w:tcW w:w="2787" w:type="pct"/>
                  <w:tcBorders>
                    <w:tl2br w:val="nil"/>
                    <w:tr2bl w:val="nil"/>
                  </w:tcBorders>
                  <w:shd w:val="clear" w:color="auto" w:fill="auto"/>
                  <w:vAlign w:val="center"/>
                </w:tcPr>
                <w:p w14:paraId="3104721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snapToGrid/>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危废贮存库</w:t>
                  </w:r>
                  <w:r>
                    <w:rPr>
                      <w:rFonts w:hint="default" w:ascii="Times New Roman" w:hAnsi="Times New Roman" w:eastAsia="宋体" w:cs="Times New Roman"/>
                      <w:bCs/>
                      <w:color w:val="auto"/>
                      <w:sz w:val="21"/>
                      <w:szCs w:val="21"/>
                      <w:highlight w:val="none"/>
                    </w:rPr>
                    <w:t>暂存后交由有资质的单位处置</w:t>
                  </w:r>
                </w:p>
              </w:tc>
            </w:tr>
            <w:tr w14:paraId="53A7BD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449" w:type="pct"/>
                  <w:vMerge w:val="continue"/>
                  <w:tcBorders>
                    <w:tl2br w:val="nil"/>
                    <w:tr2bl w:val="nil"/>
                  </w:tcBorders>
                  <w:vAlign w:val="center"/>
                </w:tcPr>
                <w:p w14:paraId="0DC3BFB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821" w:type="pct"/>
                  <w:vMerge w:val="continue"/>
                  <w:tcBorders>
                    <w:tl2br w:val="nil"/>
                    <w:tr2bl w:val="nil"/>
                  </w:tcBorders>
                  <w:vAlign w:val="center"/>
                </w:tcPr>
                <w:p w14:paraId="476434B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p>
              </w:tc>
              <w:tc>
                <w:tcPr>
                  <w:tcW w:w="941" w:type="pct"/>
                  <w:tcBorders>
                    <w:tl2br w:val="nil"/>
                    <w:tr2bl w:val="nil"/>
                  </w:tcBorders>
                  <w:vAlign w:val="center"/>
                </w:tcPr>
                <w:p w14:paraId="1F705E0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color w:val="auto"/>
                      <w:sz w:val="21"/>
                      <w:szCs w:val="21"/>
                      <w:highlight w:val="none"/>
                      <w:lang w:val="en-US" w:eastAsia="zh-CN"/>
                    </w:rPr>
                    <w:t>废试剂瓶、废试剂、</w:t>
                  </w:r>
                  <w:r>
                    <w:rPr>
                      <w:rFonts w:hint="eastAsia" w:cs="Times New Roman"/>
                      <w:color w:val="auto"/>
                      <w:sz w:val="21"/>
                      <w:szCs w:val="21"/>
                      <w:highlight w:val="none"/>
                      <w:lang w:val="en-US" w:eastAsia="zh-CN"/>
                    </w:rPr>
                    <w:t>样品废液、实验器皿清洗废水、乙醚清洗废液、喷淋塔废水</w:t>
                  </w:r>
                </w:p>
              </w:tc>
              <w:tc>
                <w:tcPr>
                  <w:tcW w:w="2787" w:type="pct"/>
                  <w:tcBorders>
                    <w:tl2br w:val="nil"/>
                    <w:tr2bl w:val="nil"/>
                  </w:tcBorders>
                  <w:vAlign w:val="center"/>
                </w:tcPr>
                <w:p w14:paraId="44757B66">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bCs/>
                      <w:snapToGrid/>
                      <w:color w:val="auto"/>
                      <w:kern w:val="2"/>
                      <w:sz w:val="21"/>
                      <w:szCs w:val="21"/>
                      <w:highlight w:val="none"/>
                      <w:lang w:val="en-US" w:eastAsia="zh-CN"/>
                    </w:rPr>
                  </w:pPr>
                  <w:r>
                    <w:rPr>
                      <w:rFonts w:hint="eastAsia" w:cs="Times New Roman"/>
                      <w:color w:val="auto"/>
                      <w:sz w:val="21"/>
                      <w:szCs w:val="21"/>
                      <w:highlight w:val="none"/>
                      <w:lang w:val="en-US" w:eastAsia="zh-CN"/>
                    </w:rPr>
                    <w:t>收集在专用容器中，暂存于危险废物贮存库，定期交由有资质单位处置</w:t>
                  </w:r>
                </w:p>
              </w:tc>
            </w:tr>
            <w:tr w14:paraId="68F509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449" w:type="pct"/>
                  <w:vMerge w:val="continue"/>
                  <w:tcBorders>
                    <w:tl2br w:val="nil"/>
                    <w:tr2bl w:val="nil"/>
                  </w:tcBorders>
                  <w:vAlign w:val="center"/>
                </w:tcPr>
                <w:p w14:paraId="367142E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821" w:type="pct"/>
                  <w:tcBorders>
                    <w:tl2br w:val="nil"/>
                    <w:tr2bl w:val="nil"/>
                  </w:tcBorders>
                  <w:vAlign w:val="center"/>
                </w:tcPr>
                <w:p w14:paraId="56972CD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rPr>
                    <w:t>设备维护</w:t>
                  </w:r>
                </w:p>
              </w:tc>
              <w:tc>
                <w:tcPr>
                  <w:tcW w:w="941" w:type="pct"/>
                  <w:tcBorders>
                    <w:tl2br w:val="nil"/>
                    <w:tr2bl w:val="nil"/>
                  </w:tcBorders>
                  <w:vAlign w:val="center"/>
                </w:tcPr>
                <w:p w14:paraId="5D435B25">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废润滑油</w:t>
                  </w:r>
                  <w:r>
                    <w:rPr>
                      <w:rFonts w:hint="eastAsia" w:ascii="Times New Roman" w:hAnsi="Times New Roman" w:eastAsia="宋体" w:cs="Times New Roman"/>
                      <w:bCs/>
                      <w:snapToGrid/>
                      <w:color w:val="auto"/>
                      <w:kern w:val="2"/>
                      <w:sz w:val="21"/>
                      <w:szCs w:val="21"/>
                      <w:highlight w:val="none"/>
                      <w:lang w:val="en-US" w:eastAsia="zh-CN"/>
                    </w:rPr>
                    <w:t>、</w:t>
                  </w:r>
                  <w:r>
                    <w:rPr>
                      <w:rFonts w:hint="default" w:ascii="Times New Roman" w:hAnsi="Times New Roman" w:eastAsia="宋体" w:cs="Times New Roman"/>
                      <w:bCs/>
                      <w:snapToGrid/>
                      <w:color w:val="auto"/>
                      <w:kern w:val="2"/>
                      <w:sz w:val="21"/>
                      <w:szCs w:val="21"/>
                      <w:highlight w:val="none"/>
                      <w:lang w:val="en-US" w:eastAsia="zh-CN"/>
                    </w:rPr>
                    <w:t>含油废抹布手套</w:t>
                  </w:r>
                  <w:r>
                    <w:rPr>
                      <w:rFonts w:hint="eastAsia" w:ascii="Times New Roman" w:hAnsi="Times New Roman" w:eastAsia="宋体" w:cs="Times New Roman"/>
                      <w:bCs/>
                      <w:snapToGrid/>
                      <w:color w:val="auto"/>
                      <w:kern w:val="2"/>
                      <w:sz w:val="21"/>
                      <w:szCs w:val="21"/>
                      <w:highlight w:val="none"/>
                      <w:lang w:val="en-US" w:eastAsia="zh-CN"/>
                    </w:rPr>
                    <w:t>、废油桶</w:t>
                  </w:r>
                </w:p>
              </w:tc>
              <w:tc>
                <w:tcPr>
                  <w:tcW w:w="2787" w:type="pct"/>
                  <w:tcBorders>
                    <w:tl2br w:val="nil"/>
                    <w:tr2bl w:val="nil"/>
                  </w:tcBorders>
                  <w:vAlign w:val="center"/>
                </w:tcPr>
                <w:p w14:paraId="7C3AF9E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危废贮存库</w:t>
                  </w:r>
                  <w:r>
                    <w:rPr>
                      <w:rFonts w:hint="default" w:ascii="Times New Roman" w:hAnsi="Times New Roman" w:eastAsia="宋体" w:cs="Times New Roman"/>
                      <w:bCs/>
                      <w:color w:val="auto"/>
                      <w:sz w:val="21"/>
                      <w:szCs w:val="21"/>
                      <w:highlight w:val="none"/>
                    </w:rPr>
                    <w:t>暂存后交由有资质的单位处置</w:t>
                  </w:r>
                </w:p>
              </w:tc>
            </w:tr>
            <w:tr w14:paraId="6D1AD1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449" w:type="pct"/>
                  <w:vMerge w:val="continue"/>
                  <w:tcBorders>
                    <w:tl2br w:val="nil"/>
                    <w:tr2bl w:val="nil"/>
                  </w:tcBorders>
                  <w:vAlign w:val="center"/>
                </w:tcPr>
                <w:p w14:paraId="26F59F6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snapToGrid/>
                      <w:color w:val="auto"/>
                      <w:kern w:val="2"/>
                      <w:sz w:val="21"/>
                      <w:szCs w:val="21"/>
                      <w:highlight w:val="none"/>
                      <w:lang w:val="en-US" w:eastAsia="zh-CN"/>
                    </w:rPr>
                  </w:pPr>
                </w:p>
              </w:tc>
              <w:tc>
                <w:tcPr>
                  <w:tcW w:w="821" w:type="pct"/>
                  <w:tcBorders>
                    <w:tl2br w:val="nil"/>
                    <w:tr2bl w:val="nil"/>
                  </w:tcBorders>
                  <w:vAlign w:val="center"/>
                </w:tcPr>
                <w:p w14:paraId="3CBE811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办公生活</w:t>
                  </w:r>
                </w:p>
              </w:tc>
              <w:tc>
                <w:tcPr>
                  <w:tcW w:w="941" w:type="pct"/>
                  <w:tcBorders>
                    <w:tl2br w:val="nil"/>
                    <w:tr2bl w:val="nil"/>
                  </w:tcBorders>
                  <w:vAlign w:val="center"/>
                </w:tcPr>
                <w:p w14:paraId="1C27DEE8">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生活垃圾</w:t>
                  </w:r>
                </w:p>
              </w:tc>
              <w:tc>
                <w:tcPr>
                  <w:tcW w:w="2787" w:type="pct"/>
                  <w:tcBorders>
                    <w:tl2br w:val="nil"/>
                    <w:tr2bl w:val="nil"/>
                  </w:tcBorders>
                  <w:vAlign w:val="center"/>
                </w:tcPr>
                <w:p w14:paraId="1E5C85C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color w:val="auto"/>
                      <w:sz w:val="21"/>
                      <w:szCs w:val="21"/>
                      <w:highlight w:val="none"/>
                    </w:rPr>
                    <w:t>生活垃圾桶收集后交由环卫部门处置</w:t>
                  </w:r>
                </w:p>
              </w:tc>
            </w:tr>
          </w:tbl>
          <w:p w14:paraId="4202693A">
            <w:pPr>
              <w:keepNext w:val="0"/>
              <w:keepLines w:val="0"/>
              <w:suppressLineNumbers w:val="0"/>
              <w:tabs>
                <w:tab w:val="left" w:pos="1780"/>
              </w:tabs>
              <w:bidi w:val="0"/>
              <w:spacing w:before="0" w:beforeAutospacing="0" w:after="0" w:afterAutospacing="0"/>
              <w:ind w:left="0" w:right="0"/>
              <w:jc w:val="left"/>
              <w:rPr>
                <w:rFonts w:hint="default"/>
                <w:color w:val="auto"/>
                <w:highlight w:val="none"/>
                <w:lang w:val="en-US" w:eastAsia="zh-CN"/>
              </w:rPr>
            </w:pPr>
          </w:p>
        </w:tc>
      </w:tr>
      <w:tr w14:paraId="34836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2" w:hRule="atLeast"/>
          <w:jc w:val="center"/>
        </w:trPr>
        <w:tc>
          <w:tcPr>
            <w:tcW w:w="452" w:type="dxa"/>
            <w:noWrap w:val="0"/>
            <w:vAlign w:val="center"/>
          </w:tcPr>
          <w:p w14:paraId="296AB4B2">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608" w:type="dxa"/>
            <w:noWrap w:val="0"/>
            <w:vAlign w:val="center"/>
          </w:tcPr>
          <w:p w14:paraId="2C9BB8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p>
          <w:p w14:paraId="24720B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根据现场调查，本项目为新建项目，在陕西省西咸新区沣西新城创新港G板块，四至范围为 CXG 东南二路以 东、创智路以北、CXG 东南三路以西地块的空置场地进行建设。</w:t>
            </w:r>
            <w:r>
              <w:rPr>
                <w:rFonts w:hint="eastAsia" w:cs="Times New Roman"/>
                <w:color w:val="auto"/>
                <w:sz w:val="24"/>
                <w:szCs w:val="24"/>
                <w:highlight w:val="none"/>
                <w:lang w:val="en-US" w:eastAsia="zh-CN"/>
              </w:rPr>
              <w:t>本项目正在进行1号生产厂房的建设，生产设备未入厂，未进行生产</w:t>
            </w:r>
            <w:r>
              <w:rPr>
                <w:rFonts w:hint="default" w:ascii="Times New Roman" w:hAnsi="Times New Roman" w:eastAsia="宋体" w:cs="Times New Roman"/>
                <w:color w:val="auto"/>
                <w:sz w:val="24"/>
                <w:szCs w:val="24"/>
                <w:highlight w:val="none"/>
                <w:lang w:val="en-US" w:eastAsia="zh-CN"/>
              </w:rPr>
              <w:t>，因此，不存在与本项目有关的原有污染及主要环境问题。</w:t>
            </w:r>
          </w:p>
          <w:p w14:paraId="382468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szCs w:val="24"/>
                <w:highlight w:val="none"/>
                <w:lang w:val="en-US" w:eastAsia="zh-CN"/>
              </w:rPr>
            </w:pPr>
          </w:p>
          <w:p w14:paraId="1C0747D1">
            <w:pPr>
              <w:pStyle w:val="27"/>
              <w:keepNext w:val="0"/>
              <w:keepLines w:val="0"/>
              <w:suppressLineNumbers w:val="0"/>
              <w:spacing w:before="0" w:beforeAutospacing="0" w:afterAutospacing="0"/>
              <w:ind w:right="0"/>
              <w:jc w:val="center"/>
              <w:rPr>
                <w:rFonts w:hint="default" w:ascii="Times New Roman" w:hAnsi="Times New Roman" w:eastAsia="宋体" w:cs="Times New Roman"/>
                <w:color w:val="auto"/>
                <w:sz w:val="24"/>
                <w:szCs w:val="24"/>
                <w:highlight w:val="none"/>
                <w:lang w:val="en-US" w:eastAsia="zh-CN"/>
              </w:rPr>
            </w:pPr>
          </w:p>
        </w:tc>
      </w:tr>
    </w:tbl>
    <w:p w14:paraId="5170262A">
      <w:pPr>
        <w:rPr>
          <w:rFonts w:hint="default" w:ascii="Times New Roman" w:hAnsi="Times New Roman" w:eastAsia="宋体" w:cs="Times New Roman"/>
          <w:color w:val="auto"/>
          <w:highlight w:val="none"/>
        </w:rPr>
        <w:sectPr>
          <w:pgSz w:w="11906" w:h="16838"/>
          <w:pgMar w:top="1417" w:right="1531" w:bottom="141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38630FD">
      <w:pPr>
        <w:pStyle w:val="23"/>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14:paraId="399D853D">
      <w:pPr>
        <w:pStyle w:val="23"/>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528"/>
      </w:tblGrid>
      <w:tr w14:paraId="1DA95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533" w:type="dxa"/>
            <w:noWrap w:val="0"/>
            <w:vAlign w:val="center"/>
          </w:tcPr>
          <w:p w14:paraId="05FD01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14:paraId="03B9DD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7549EA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14:paraId="55FDC6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现状</w:t>
            </w:r>
          </w:p>
        </w:tc>
        <w:tc>
          <w:tcPr>
            <w:tcW w:w="8528" w:type="dxa"/>
            <w:noWrap w:val="0"/>
            <w:vAlign w:val="center"/>
          </w:tcPr>
          <w:p w14:paraId="3975B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1、环境空气质量现状</w:t>
            </w:r>
          </w:p>
          <w:p w14:paraId="309797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（1）空气质量达标区判定</w:t>
            </w:r>
          </w:p>
          <w:p w14:paraId="7EE8E9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4CCED9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评价采用陕西省生态环境厅办公室2024年1月19日发布的《环保快报》中“2023年1~12月关中地区64个县（区）空气质量状况统计表”中西咸新区空气常规六项污染物监测结果，对区域环境空气质量现状进行分析，统计结果见表。</w:t>
            </w:r>
          </w:p>
          <w:p w14:paraId="3F601942">
            <w:pPr>
              <w:keepNext w:val="0"/>
              <w:keepLines w:val="0"/>
              <w:suppressLineNumbers w:val="0"/>
              <w:spacing w:before="0" w:beforeAutospacing="0" w:after="0" w:afterAutospacing="0" w:line="240" w:lineRule="auto"/>
              <w:ind w:left="0" w:right="0" w:firstLine="48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表3-1</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环境空气质量状况统计表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510"/>
              <w:gridCol w:w="1200"/>
              <w:gridCol w:w="1200"/>
              <w:gridCol w:w="1225"/>
              <w:gridCol w:w="1152"/>
            </w:tblGrid>
            <w:tr w14:paraId="56006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tcBorders>
                    <w:tl2br w:val="nil"/>
                    <w:tr2bl w:val="nil"/>
                  </w:tcBorders>
                  <w:noWrap w:val="0"/>
                  <w:vAlign w:val="center"/>
                </w:tcPr>
                <w:p w14:paraId="6EE58EE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污染物</w:t>
                  </w:r>
                </w:p>
              </w:tc>
              <w:tc>
                <w:tcPr>
                  <w:tcW w:w="1515" w:type="pct"/>
                  <w:tcBorders>
                    <w:tl2br w:val="nil"/>
                    <w:tr2bl w:val="nil"/>
                  </w:tcBorders>
                  <w:noWrap w:val="0"/>
                  <w:vAlign w:val="center"/>
                </w:tcPr>
                <w:p w14:paraId="4FC736C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eastAsia="zh-CN" w:bidi="ar"/>
                    </w:rPr>
                    <w:t>年度</w:t>
                  </w:r>
                  <w:r>
                    <w:rPr>
                      <w:rFonts w:hint="default" w:ascii="Times New Roman" w:hAnsi="Times New Roman" w:eastAsia="宋体" w:cs="Times New Roman"/>
                      <w:b/>
                      <w:bCs w:val="0"/>
                      <w:color w:val="auto"/>
                      <w:kern w:val="0"/>
                      <w:sz w:val="21"/>
                      <w:szCs w:val="21"/>
                      <w:highlight w:val="none"/>
                      <w:lang w:bidi="ar"/>
                    </w:rPr>
                    <w:t>评价指标</w:t>
                  </w:r>
                </w:p>
              </w:tc>
              <w:tc>
                <w:tcPr>
                  <w:tcW w:w="724" w:type="pct"/>
                  <w:tcBorders>
                    <w:tl2br w:val="nil"/>
                    <w:tr2bl w:val="nil"/>
                  </w:tcBorders>
                  <w:noWrap w:val="0"/>
                  <w:vAlign w:val="center"/>
                </w:tcPr>
                <w:p w14:paraId="33F4F1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现状浓度/（μg/m</w:t>
                  </w:r>
                  <w:r>
                    <w:rPr>
                      <w:rFonts w:hint="default" w:ascii="Times New Roman" w:hAnsi="Times New Roman" w:eastAsia="宋体" w:cs="Times New Roman"/>
                      <w:b/>
                      <w:bCs w:val="0"/>
                      <w:color w:val="auto"/>
                      <w:kern w:val="0"/>
                      <w:sz w:val="21"/>
                      <w:szCs w:val="21"/>
                      <w:highlight w:val="none"/>
                      <w:vertAlign w:val="superscript"/>
                      <w:lang w:bidi="ar"/>
                    </w:rPr>
                    <w:t>3</w:t>
                  </w:r>
                  <w:r>
                    <w:rPr>
                      <w:rFonts w:hint="default" w:ascii="Times New Roman" w:hAnsi="Times New Roman" w:eastAsia="宋体" w:cs="Times New Roman"/>
                      <w:b/>
                      <w:bCs w:val="0"/>
                      <w:color w:val="auto"/>
                      <w:kern w:val="0"/>
                      <w:sz w:val="21"/>
                      <w:szCs w:val="21"/>
                      <w:highlight w:val="none"/>
                      <w:lang w:bidi="ar"/>
                    </w:rPr>
                    <w:t>）</w:t>
                  </w:r>
                </w:p>
              </w:tc>
              <w:tc>
                <w:tcPr>
                  <w:tcW w:w="724" w:type="pct"/>
                  <w:tcBorders>
                    <w:tl2br w:val="nil"/>
                    <w:tr2bl w:val="nil"/>
                  </w:tcBorders>
                  <w:noWrap w:val="0"/>
                  <w:vAlign w:val="center"/>
                </w:tcPr>
                <w:p w14:paraId="1082A82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标准值/（μg/m</w:t>
                  </w:r>
                  <w:r>
                    <w:rPr>
                      <w:rFonts w:hint="default" w:ascii="Times New Roman" w:hAnsi="Times New Roman" w:eastAsia="宋体" w:cs="Times New Roman"/>
                      <w:b/>
                      <w:bCs w:val="0"/>
                      <w:color w:val="auto"/>
                      <w:kern w:val="0"/>
                      <w:sz w:val="21"/>
                      <w:szCs w:val="21"/>
                      <w:highlight w:val="none"/>
                      <w:vertAlign w:val="superscript"/>
                      <w:lang w:bidi="ar"/>
                    </w:rPr>
                    <w:t>3</w:t>
                  </w:r>
                  <w:r>
                    <w:rPr>
                      <w:rFonts w:hint="default" w:ascii="Times New Roman" w:hAnsi="Times New Roman" w:eastAsia="宋体" w:cs="Times New Roman"/>
                      <w:b/>
                      <w:bCs w:val="0"/>
                      <w:color w:val="auto"/>
                      <w:kern w:val="0"/>
                      <w:sz w:val="21"/>
                      <w:szCs w:val="21"/>
                      <w:highlight w:val="none"/>
                      <w:lang w:bidi="ar"/>
                    </w:rPr>
                    <w:t>）</w:t>
                  </w:r>
                </w:p>
              </w:tc>
              <w:tc>
                <w:tcPr>
                  <w:tcW w:w="739" w:type="pct"/>
                  <w:tcBorders>
                    <w:tl2br w:val="nil"/>
                    <w:tr2bl w:val="nil"/>
                  </w:tcBorders>
                  <w:noWrap w:val="0"/>
                  <w:vAlign w:val="center"/>
                </w:tcPr>
                <w:p w14:paraId="49EF01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占标率/%</w:t>
                  </w:r>
                </w:p>
              </w:tc>
              <w:tc>
                <w:tcPr>
                  <w:tcW w:w="695" w:type="pct"/>
                  <w:tcBorders>
                    <w:tl2br w:val="nil"/>
                    <w:tr2bl w:val="nil"/>
                  </w:tcBorders>
                  <w:noWrap w:val="0"/>
                  <w:vAlign w:val="center"/>
                </w:tcPr>
                <w:p w14:paraId="6453B1B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达标情况</w:t>
                  </w:r>
                </w:p>
              </w:tc>
            </w:tr>
            <w:tr w14:paraId="2B5C8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tcBorders>
                    <w:tl2br w:val="nil"/>
                    <w:tr2bl w:val="nil"/>
                  </w:tcBorders>
                  <w:noWrap w:val="0"/>
                  <w:vAlign w:val="center"/>
                </w:tcPr>
                <w:p w14:paraId="676148C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PM</w:t>
                  </w:r>
                  <w:r>
                    <w:rPr>
                      <w:rFonts w:hint="default" w:ascii="Times New Roman" w:hAnsi="Times New Roman" w:eastAsia="宋体" w:cs="Times New Roman"/>
                      <w:b w:val="0"/>
                      <w:bCs/>
                      <w:color w:val="auto"/>
                      <w:kern w:val="0"/>
                      <w:sz w:val="21"/>
                      <w:szCs w:val="21"/>
                      <w:highlight w:val="none"/>
                      <w:vertAlign w:val="subscript"/>
                      <w:lang w:bidi="ar"/>
                    </w:rPr>
                    <w:t>10</w:t>
                  </w:r>
                </w:p>
              </w:tc>
              <w:tc>
                <w:tcPr>
                  <w:tcW w:w="1515" w:type="pct"/>
                  <w:tcBorders>
                    <w:tl2br w:val="nil"/>
                    <w:tr2bl w:val="nil"/>
                  </w:tcBorders>
                  <w:noWrap w:val="0"/>
                  <w:vAlign w:val="center"/>
                </w:tcPr>
                <w:p w14:paraId="1341535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年平均质量浓度</w:t>
                  </w:r>
                </w:p>
              </w:tc>
              <w:tc>
                <w:tcPr>
                  <w:tcW w:w="724" w:type="pct"/>
                  <w:tcBorders>
                    <w:tl2br w:val="nil"/>
                    <w:tr2bl w:val="nil"/>
                  </w:tcBorders>
                  <w:noWrap w:val="0"/>
                  <w:vAlign w:val="center"/>
                </w:tcPr>
                <w:p w14:paraId="712441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eastAsia="zh-CN" w:bidi="ar"/>
                    </w:rPr>
                  </w:pPr>
                  <w:r>
                    <w:rPr>
                      <w:rFonts w:hint="default" w:ascii="Times New Roman" w:hAnsi="Times New Roman" w:eastAsia="宋体" w:cs="Times New Roman"/>
                      <w:b w:val="0"/>
                      <w:bCs/>
                      <w:color w:val="auto"/>
                      <w:kern w:val="0"/>
                      <w:sz w:val="21"/>
                      <w:szCs w:val="21"/>
                      <w:highlight w:val="none"/>
                      <w:lang w:val="en-US" w:eastAsia="zh-CN" w:bidi="ar"/>
                    </w:rPr>
                    <w:t>82</w:t>
                  </w:r>
                </w:p>
              </w:tc>
              <w:tc>
                <w:tcPr>
                  <w:tcW w:w="724" w:type="pct"/>
                  <w:tcBorders>
                    <w:tl2br w:val="nil"/>
                    <w:tr2bl w:val="nil"/>
                  </w:tcBorders>
                  <w:noWrap w:val="0"/>
                  <w:vAlign w:val="center"/>
                </w:tcPr>
                <w:p w14:paraId="4DF89EB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70</w:t>
                  </w:r>
                </w:p>
              </w:tc>
              <w:tc>
                <w:tcPr>
                  <w:tcW w:w="739" w:type="pct"/>
                  <w:tcBorders>
                    <w:tl2br w:val="nil"/>
                    <w:tr2bl w:val="nil"/>
                  </w:tcBorders>
                  <w:noWrap w:val="0"/>
                  <w:vAlign w:val="center"/>
                </w:tcPr>
                <w:p w14:paraId="382D634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117%</w:t>
                  </w:r>
                </w:p>
              </w:tc>
              <w:tc>
                <w:tcPr>
                  <w:tcW w:w="695" w:type="pct"/>
                  <w:tcBorders>
                    <w:tl2br w:val="nil"/>
                    <w:tr2bl w:val="nil"/>
                  </w:tcBorders>
                  <w:noWrap w:val="0"/>
                  <w:vAlign w:val="center"/>
                </w:tcPr>
                <w:p w14:paraId="514CEC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val="0"/>
                      <w:color w:val="auto"/>
                      <w:kern w:val="0"/>
                      <w:sz w:val="21"/>
                      <w:szCs w:val="21"/>
                      <w:highlight w:val="none"/>
                      <w:lang w:val="en-US" w:eastAsia="zh-CN" w:bidi="ar"/>
                    </w:rPr>
                  </w:pPr>
                  <w:r>
                    <w:rPr>
                      <w:rFonts w:hint="eastAsia" w:ascii="Times New Roman" w:hAnsi="Times New Roman" w:eastAsia="宋体" w:cs="Times New Roman"/>
                      <w:b/>
                      <w:bCs w:val="0"/>
                      <w:color w:val="auto"/>
                      <w:kern w:val="0"/>
                      <w:sz w:val="21"/>
                      <w:szCs w:val="21"/>
                      <w:highlight w:val="none"/>
                      <w:lang w:val="en-US" w:eastAsia="zh-CN" w:bidi="ar"/>
                    </w:rPr>
                    <w:t>不</w:t>
                  </w:r>
                  <w:r>
                    <w:rPr>
                      <w:rFonts w:hint="default" w:ascii="Times New Roman" w:hAnsi="Times New Roman" w:eastAsia="宋体" w:cs="Times New Roman"/>
                      <w:b/>
                      <w:bCs w:val="0"/>
                      <w:color w:val="auto"/>
                      <w:kern w:val="0"/>
                      <w:sz w:val="21"/>
                      <w:szCs w:val="21"/>
                      <w:highlight w:val="none"/>
                      <w:lang w:bidi="ar"/>
                    </w:rPr>
                    <w:t>达标</w:t>
                  </w:r>
                </w:p>
              </w:tc>
            </w:tr>
            <w:tr w14:paraId="460E0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tcBorders>
                    <w:tl2br w:val="nil"/>
                    <w:tr2bl w:val="nil"/>
                  </w:tcBorders>
                  <w:noWrap w:val="0"/>
                  <w:vAlign w:val="center"/>
                </w:tcPr>
                <w:p w14:paraId="3C12A2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PM</w:t>
                  </w:r>
                  <w:r>
                    <w:rPr>
                      <w:rFonts w:hint="default" w:ascii="Times New Roman" w:hAnsi="Times New Roman" w:eastAsia="宋体" w:cs="Times New Roman"/>
                      <w:b w:val="0"/>
                      <w:bCs/>
                      <w:color w:val="auto"/>
                      <w:kern w:val="0"/>
                      <w:sz w:val="21"/>
                      <w:szCs w:val="21"/>
                      <w:highlight w:val="none"/>
                      <w:vertAlign w:val="subscript"/>
                      <w:lang w:bidi="ar"/>
                    </w:rPr>
                    <w:t>2.5</w:t>
                  </w:r>
                </w:p>
              </w:tc>
              <w:tc>
                <w:tcPr>
                  <w:tcW w:w="1515" w:type="pct"/>
                  <w:tcBorders>
                    <w:tl2br w:val="nil"/>
                    <w:tr2bl w:val="nil"/>
                  </w:tcBorders>
                  <w:noWrap w:val="0"/>
                  <w:vAlign w:val="center"/>
                </w:tcPr>
                <w:p w14:paraId="5FFCC7D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年平均质量浓度</w:t>
                  </w:r>
                </w:p>
              </w:tc>
              <w:tc>
                <w:tcPr>
                  <w:tcW w:w="724" w:type="pct"/>
                  <w:tcBorders>
                    <w:tl2br w:val="nil"/>
                    <w:tr2bl w:val="nil"/>
                  </w:tcBorders>
                  <w:noWrap w:val="0"/>
                  <w:vAlign w:val="center"/>
                </w:tcPr>
                <w:p w14:paraId="218BB4B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48</w:t>
                  </w:r>
                </w:p>
              </w:tc>
              <w:tc>
                <w:tcPr>
                  <w:tcW w:w="724" w:type="pct"/>
                  <w:tcBorders>
                    <w:tl2br w:val="nil"/>
                    <w:tr2bl w:val="nil"/>
                  </w:tcBorders>
                  <w:noWrap w:val="0"/>
                  <w:vAlign w:val="center"/>
                </w:tcPr>
                <w:p w14:paraId="182752C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35</w:t>
                  </w:r>
                </w:p>
              </w:tc>
              <w:tc>
                <w:tcPr>
                  <w:tcW w:w="739" w:type="pct"/>
                  <w:tcBorders>
                    <w:tl2br w:val="nil"/>
                    <w:tr2bl w:val="nil"/>
                  </w:tcBorders>
                  <w:noWrap w:val="0"/>
                  <w:vAlign w:val="center"/>
                </w:tcPr>
                <w:p w14:paraId="6680F1D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137%</w:t>
                  </w:r>
                </w:p>
              </w:tc>
              <w:tc>
                <w:tcPr>
                  <w:tcW w:w="695" w:type="pct"/>
                  <w:tcBorders>
                    <w:tl2br w:val="nil"/>
                    <w:tr2bl w:val="nil"/>
                  </w:tcBorders>
                  <w:noWrap w:val="0"/>
                  <w:vAlign w:val="center"/>
                </w:tcPr>
                <w:p w14:paraId="2A34638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val="0"/>
                      <w:color w:val="auto"/>
                      <w:kern w:val="0"/>
                      <w:sz w:val="21"/>
                      <w:szCs w:val="21"/>
                      <w:highlight w:val="none"/>
                      <w:lang w:val="en-US" w:eastAsia="zh-CN" w:bidi="ar"/>
                    </w:rPr>
                  </w:pPr>
                  <w:r>
                    <w:rPr>
                      <w:rFonts w:hint="eastAsia" w:ascii="Times New Roman" w:hAnsi="Times New Roman" w:eastAsia="宋体" w:cs="Times New Roman"/>
                      <w:b/>
                      <w:bCs w:val="0"/>
                      <w:color w:val="auto"/>
                      <w:kern w:val="0"/>
                      <w:sz w:val="21"/>
                      <w:szCs w:val="21"/>
                      <w:highlight w:val="none"/>
                      <w:lang w:val="en-US" w:eastAsia="zh-CN" w:bidi="ar"/>
                    </w:rPr>
                    <w:t>不</w:t>
                  </w:r>
                  <w:r>
                    <w:rPr>
                      <w:rFonts w:hint="default" w:ascii="Times New Roman" w:hAnsi="Times New Roman" w:eastAsia="宋体" w:cs="Times New Roman"/>
                      <w:b/>
                      <w:bCs w:val="0"/>
                      <w:color w:val="auto"/>
                      <w:kern w:val="0"/>
                      <w:sz w:val="21"/>
                      <w:szCs w:val="21"/>
                      <w:highlight w:val="none"/>
                      <w:lang w:bidi="ar"/>
                    </w:rPr>
                    <w:t>达标</w:t>
                  </w:r>
                </w:p>
              </w:tc>
            </w:tr>
            <w:tr w14:paraId="6B995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tcBorders>
                    <w:tl2br w:val="nil"/>
                    <w:tr2bl w:val="nil"/>
                  </w:tcBorders>
                  <w:noWrap w:val="0"/>
                  <w:vAlign w:val="center"/>
                </w:tcPr>
                <w:p w14:paraId="32A5E8A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bidi="ar"/>
                    </w:rPr>
                    <w:t>SO</w:t>
                  </w:r>
                  <w:r>
                    <w:rPr>
                      <w:rFonts w:hint="default" w:ascii="Times New Roman" w:hAnsi="Times New Roman" w:eastAsia="宋体" w:cs="Times New Roman"/>
                      <w:b w:val="0"/>
                      <w:bCs/>
                      <w:color w:val="auto"/>
                      <w:kern w:val="0"/>
                      <w:sz w:val="21"/>
                      <w:szCs w:val="21"/>
                      <w:highlight w:val="none"/>
                      <w:vertAlign w:val="subscript"/>
                      <w:lang w:bidi="ar"/>
                    </w:rPr>
                    <w:t>2</w:t>
                  </w:r>
                </w:p>
              </w:tc>
              <w:tc>
                <w:tcPr>
                  <w:tcW w:w="1515" w:type="pct"/>
                  <w:tcBorders>
                    <w:tl2br w:val="nil"/>
                    <w:tr2bl w:val="nil"/>
                  </w:tcBorders>
                  <w:noWrap w:val="0"/>
                  <w:vAlign w:val="center"/>
                </w:tcPr>
                <w:p w14:paraId="3B43140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bidi="ar"/>
                    </w:rPr>
                    <w:t>年平均质量浓度</w:t>
                  </w:r>
                </w:p>
              </w:tc>
              <w:tc>
                <w:tcPr>
                  <w:tcW w:w="724" w:type="pct"/>
                  <w:tcBorders>
                    <w:tl2br w:val="nil"/>
                    <w:tr2bl w:val="nil"/>
                  </w:tcBorders>
                  <w:noWrap w:val="0"/>
                  <w:vAlign w:val="center"/>
                </w:tcPr>
                <w:p w14:paraId="32FAC65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7</w:t>
                  </w:r>
                </w:p>
              </w:tc>
              <w:tc>
                <w:tcPr>
                  <w:tcW w:w="724" w:type="pct"/>
                  <w:tcBorders>
                    <w:tl2br w:val="nil"/>
                    <w:tr2bl w:val="nil"/>
                  </w:tcBorders>
                  <w:noWrap w:val="0"/>
                  <w:vAlign w:val="center"/>
                </w:tcPr>
                <w:p w14:paraId="23558CF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60</w:t>
                  </w:r>
                </w:p>
              </w:tc>
              <w:tc>
                <w:tcPr>
                  <w:tcW w:w="739" w:type="pct"/>
                  <w:tcBorders>
                    <w:tl2br w:val="nil"/>
                    <w:tr2bl w:val="nil"/>
                  </w:tcBorders>
                  <w:noWrap w:val="0"/>
                  <w:vAlign w:val="center"/>
                </w:tcPr>
                <w:p w14:paraId="3375171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12%</w:t>
                  </w:r>
                </w:p>
              </w:tc>
              <w:tc>
                <w:tcPr>
                  <w:tcW w:w="695" w:type="pct"/>
                  <w:tcBorders>
                    <w:tl2br w:val="nil"/>
                    <w:tr2bl w:val="nil"/>
                  </w:tcBorders>
                  <w:noWrap w:val="0"/>
                  <w:vAlign w:val="center"/>
                </w:tcPr>
                <w:p w14:paraId="4F72FFB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bidi="ar"/>
                    </w:rPr>
                    <w:t>达标</w:t>
                  </w:r>
                </w:p>
              </w:tc>
            </w:tr>
            <w:tr w14:paraId="08BF5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tcBorders>
                    <w:tl2br w:val="nil"/>
                    <w:tr2bl w:val="nil"/>
                  </w:tcBorders>
                  <w:noWrap w:val="0"/>
                  <w:vAlign w:val="center"/>
                </w:tcPr>
                <w:p w14:paraId="410C171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NO</w:t>
                  </w:r>
                  <w:r>
                    <w:rPr>
                      <w:rFonts w:hint="default" w:ascii="Times New Roman" w:hAnsi="Times New Roman" w:eastAsia="宋体" w:cs="Times New Roman"/>
                      <w:b w:val="0"/>
                      <w:bCs/>
                      <w:color w:val="auto"/>
                      <w:kern w:val="0"/>
                      <w:sz w:val="21"/>
                      <w:szCs w:val="21"/>
                      <w:highlight w:val="none"/>
                      <w:vertAlign w:val="subscript"/>
                      <w:lang w:bidi="ar"/>
                    </w:rPr>
                    <w:t>2</w:t>
                  </w:r>
                </w:p>
              </w:tc>
              <w:tc>
                <w:tcPr>
                  <w:tcW w:w="1515" w:type="pct"/>
                  <w:tcBorders>
                    <w:tl2br w:val="nil"/>
                    <w:tr2bl w:val="nil"/>
                  </w:tcBorders>
                  <w:noWrap w:val="0"/>
                  <w:vAlign w:val="center"/>
                </w:tcPr>
                <w:p w14:paraId="4EB58DF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年平均质量浓度</w:t>
                  </w:r>
                </w:p>
              </w:tc>
              <w:tc>
                <w:tcPr>
                  <w:tcW w:w="724" w:type="pct"/>
                  <w:tcBorders>
                    <w:tl2br w:val="nil"/>
                    <w:tr2bl w:val="nil"/>
                  </w:tcBorders>
                  <w:noWrap w:val="0"/>
                  <w:vAlign w:val="center"/>
                </w:tcPr>
                <w:p w14:paraId="62C8AFA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37</w:t>
                  </w:r>
                </w:p>
              </w:tc>
              <w:tc>
                <w:tcPr>
                  <w:tcW w:w="724" w:type="pct"/>
                  <w:tcBorders>
                    <w:tl2br w:val="nil"/>
                    <w:tr2bl w:val="nil"/>
                  </w:tcBorders>
                  <w:noWrap w:val="0"/>
                  <w:vAlign w:val="center"/>
                </w:tcPr>
                <w:p w14:paraId="667A329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40</w:t>
                  </w:r>
                </w:p>
              </w:tc>
              <w:tc>
                <w:tcPr>
                  <w:tcW w:w="739" w:type="pct"/>
                  <w:tcBorders>
                    <w:tl2br w:val="nil"/>
                    <w:tr2bl w:val="nil"/>
                  </w:tcBorders>
                  <w:noWrap w:val="0"/>
                  <w:vAlign w:val="center"/>
                </w:tcPr>
                <w:p w14:paraId="263481C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93%</w:t>
                  </w:r>
                </w:p>
              </w:tc>
              <w:tc>
                <w:tcPr>
                  <w:tcW w:w="695" w:type="pct"/>
                  <w:tcBorders>
                    <w:tl2br w:val="nil"/>
                    <w:tr2bl w:val="nil"/>
                  </w:tcBorders>
                  <w:noWrap w:val="0"/>
                  <w:vAlign w:val="center"/>
                </w:tcPr>
                <w:p w14:paraId="21D6F82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bidi="ar"/>
                    </w:rPr>
                    <w:t>达标</w:t>
                  </w:r>
                </w:p>
              </w:tc>
            </w:tr>
            <w:tr w14:paraId="635C0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tcBorders>
                    <w:tl2br w:val="nil"/>
                    <w:tr2bl w:val="nil"/>
                  </w:tcBorders>
                  <w:noWrap w:val="0"/>
                  <w:vAlign w:val="center"/>
                </w:tcPr>
                <w:p w14:paraId="750201E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CO</w:t>
                  </w:r>
                </w:p>
              </w:tc>
              <w:tc>
                <w:tcPr>
                  <w:tcW w:w="1515" w:type="pct"/>
                  <w:tcBorders>
                    <w:tl2br w:val="nil"/>
                    <w:tr2bl w:val="nil"/>
                  </w:tcBorders>
                  <w:noWrap w:val="0"/>
                  <w:vAlign w:val="center"/>
                </w:tcPr>
                <w:p w14:paraId="1AB7E2A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24小时平均第95百分位浓度</w:t>
                  </w:r>
                </w:p>
              </w:tc>
              <w:tc>
                <w:tcPr>
                  <w:tcW w:w="724" w:type="pct"/>
                  <w:tcBorders>
                    <w:tl2br w:val="nil"/>
                    <w:tr2bl w:val="nil"/>
                  </w:tcBorders>
                  <w:noWrap w:val="0"/>
                  <w:vAlign w:val="center"/>
                </w:tcPr>
                <w:p w14:paraId="43F943E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bidi="ar"/>
                    </w:rPr>
                  </w:pPr>
                  <w:r>
                    <w:rPr>
                      <w:rFonts w:hint="default" w:ascii="Times New Roman" w:hAnsi="Times New Roman" w:eastAsia="宋体" w:cs="Times New Roman"/>
                      <w:b w:val="0"/>
                      <w:bCs/>
                      <w:color w:val="auto"/>
                      <w:kern w:val="0"/>
                      <w:sz w:val="21"/>
                      <w:szCs w:val="21"/>
                      <w:highlight w:val="none"/>
                      <w:lang w:val="en-US" w:eastAsia="zh-CN" w:bidi="ar"/>
                    </w:rPr>
                    <w:t>1300</w:t>
                  </w:r>
                </w:p>
              </w:tc>
              <w:tc>
                <w:tcPr>
                  <w:tcW w:w="724" w:type="pct"/>
                  <w:tcBorders>
                    <w:tl2br w:val="nil"/>
                    <w:tr2bl w:val="nil"/>
                  </w:tcBorders>
                  <w:noWrap w:val="0"/>
                  <w:vAlign w:val="center"/>
                </w:tcPr>
                <w:p w14:paraId="4626F78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4000</w:t>
                  </w:r>
                </w:p>
              </w:tc>
              <w:tc>
                <w:tcPr>
                  <w:tcW w:w="739" w:type="pct"/>
                  <w:tcBorders>
                    <w:tl2br w:val="nil"/>
                    <w:tr2bl w:val="nil"/>
                  </w:tcBorders>
                  <w:noWrap w:val="0"/>
                  <w:vAlign w:val="center"/>
                </w:tcPr>
                <w:p w14:paraId="1FD420E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33%</w:t>
                  </w:r>
                </w:p>
              </w:tc>
              <w:tc>
                <w:tcPr>
                  <w:tcW w:w="695" w:type="pct"/>
                  <w:tcBorders>
                    <w:tl2br w:val="nil"/>
                    <w:tr2bl w:val="nil"/>
                  </w:tcBorders>
                  <w:noWrap w:val="0"/>
                  <w:vAlign w:val="center"/>
                </w:tcPr>
                <w:p w14:paraId="14E9447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bidi="ar"/>
                    </w:rPr>
                    <w:t>达标</w:t>
                  </w:r>
                </w:p>
              </w:tc>
            </w:tr>
            <w:tr w14:paraId="4C37D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tcBorders>
                    <w:tl2br w:val="nil"/>
                    <w:tr2bl w:val="nil"/>
                  </w:tcBorders>
                  <w:noWrap w:val="0"/>
                  <w:vAlign w:val="center"/>
                </w:tcPr>
                <w:p w14:paraId="2B88BE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O</w:t>
                  </w:r>
                  <w:r>
                    <w:rPr>
                      <w:rFonts w:hint="default" w:ascii="Times New Roman" w:hAnsi="Times New Roman" w:eastAsia="宋体" w:cs="Times New Roman"/>
                      <w:b w:val="0"/>
                      <w:bCs/>
                      <w:color w:val="auto"/>
                      <w:kern w:val="0"/>
                      <w:sz w:val="21"/>
                      <w:szCs w:val="21"/>
                      <w:highlight w:val="none"/>
                      <w:vertAlign w:val="subscript"/>
                      <w:lang w:bidi="ar"/>
                    </w:rPr>
                    <w:t>3</w:t>
                  </w:r>
                </w:p>
              </w:tc>
              <w:tc>
                <w:tcPr>
                  <w:tcW w:w="1515" w:type="pct"/>
                  <w:tcBorders>
                    <w:tl2br w:val="nil"/>
                    <w:tr2bl w:val="nil"/>
                  </w:tcBorders>
                  <w:noWrap w:val="0"/>
                  <w:vAlign w:val="center"/>
                </w:tcPr>
                <w:p w14:paraId="1753111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日最大8小时平均第90百分位浓度</w:t>
                  </w:r>
                </w:p>
              </w:tc>
              <w:tc>
                <w:tcPr>
                  <w:tcW w:w="724" w:type="pct"/>
                  <w:tcBorders>
                    <w:tl2br w:val="nil"/>
                    <w:tr2bl w:val="nil"/>
                  </w:tcBorders>
                  <w:noWrap w:val="0"/>
                  <w:vAlign w:val="center"/>
                </w:tcPr>
                <w:p w14:paraId="7DBC12C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163</w:t>
                  </w:r>
                </w:p>
              </w:tc>
              <w:tc>
                <w:tcPr>
                  <w:tcW w:w="724" w:type="pct"/>
                  <w:tcBorders>
                    <w:tl2br w:val="nil"/>
                    <w:tr2bl w:val="nil"/>
                  </w:tcBorders>
                  <w:noWrap w:val="0"/>
                  <w:vAlign w:val="center"/>
                </w:tcPr>
                <w:p w14:paraId="056B362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160</w:t>
                  </w:r>
                </w:p>
              </w:tc>
              <w:tc>
                <w:tcPr>
                  <w:tcW w:w="739" w:type="pct"/>
                  <w:tcBorders>
                    <w:tl2br w:val="nil"/>
                    <w:tr2bl w:val="nil"/>
                  </w:tcBorders>
                  <w:noWrap w:val="0"/>
                  <w:vAlign w:val="center"/>
                </w:tcPr>
                <w:p w14:paraId="01DF651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102%</w:t>
                  </w:r>
                </w:p>
              </w:tc>
              <w:tc>
                <w:tcPr>
                  <w:tcW w:w="695" w:type="pct"/>
                  <w:tcBorders>
                    <w:tl2br w:val="nil"/>
                    <w:tr2bl w:val="nil"/>
                  </w:tcBorders>
                  <w:noWrap w:val="0"/>
                  <w:vAlign w:val="center"/>
                </w:tcPr>
                <w:p w14:paraId="6DB982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bCs w:val="0"/>
                      <w:color w:val="auto"/>
                      <w:kern w:val="0"/>
                      <w:sz w:val="21"/>
                      <w:szCs w:val="21"/>
                      <w:highlight w:val="none"/>
                      <w:lang w:val="en-US" w:eastAsia="zh-CN" w:bidi="ar"/>
                    </w:rPr>
                    <w:t>不</w:t>
                  </w:r>
                  <w:r>
                    <w:rPr>
                      <w:rFonts w:hint="default" w:ascii="Times New Roman" w:hAnsi="Times New Roman" w:eastAsia="宋体" w:cs="Times New Roman"/>
                      <w:b/>
                      <w:bCs w:val="0"/>
                      <w:color w:val="auto"/>
                      <w:kern w:val="0"/>
                      <w:sz w:val="21"/>
                      <w:szCs w:val="21"/>
                      <w:highlight w:val="none"/>
                      <w:lang w:bidi="ar"/>
                    </w:rPr>
                    <w:t>达标</w:t>
                  </w:r>
                </w:p>
              </w:tc>
            </w:tr>
          </w:tbl>
          <w:p w14:paraId="756C94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由表3-1可知，项目所在区域</w:t>
            </w:r>
            <w:r>
              <w:rPr>
                <w:rFonts w:hint="default" w:ascii="Times New Roman" w:hAnsi="Times New Roman" w:eastAsia="宋体" w:cs="Times New Roman"/>
                <w:color w:val="auto"/>
                <w:sz w:val="24"/>
                <w:szCs w:val="24"/>
                <w:highlight w:val="none"/>
                <w:lang w:val="en-US" w:eastAsia="zh-CN"/>
              </w:rPr>
              <w:t>2023年环境空气中六项基本污染物中</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年平均</w:t>
            </w:r>
            <w:r>
              <w:rPr>
                <w:rFonts w:hint="default" w:ascii="Times New Roman" w:hAnsi="Times New Roman" w:eastAsia="宋体" w:cs="Times New Roman"/>
                <w:color w:val="auto"/>
                <w:sz w:val="24"/>
                <w:szCs w:val="24"/>
                <w:highlight w:val="none"/>
                <w:lang w:val="en-US" w:eastAsia="zh-CN"/>
              </w:rPr>
              <w:t>浓度</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z w:val="24"/>
                <w:szCs w:val="24"/>
                <w:highlight w:val="none"/>
                <w:lang w:val="en-US" w:eastAsia="zh-CN"/>
              </w:rPr>
              <w:t>第95百分位24h平均浓度</w:t>
            </w:r>
            <w:r>
              <w:rPr>
                <w:rFonts w:hint="default" w:ascii="Times New Roman" w:hAnsi="Times New Roman" w:eastAsia="宋体" w:cs="Times New Roman"/>
                <w:color w:val="auto"/>
                <w:sz w:val="24"/>
                <w:szCs w:val="24"/>
                <w:highlight w:val="none"/>
              </w:rPr>
              <w:t>满足《环境空气质量标准》（GB3095-2012）</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二级标准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color w:val="auto"/>
                <w:sz w:val="24"/>
                <w:szCs w:val="24"/>
                <w:highlight w:val="none"/>
                <w:lang w:val="en-US" w:eastAsia="zh-CN"/>
              </w:rPr>
              <w:t>但</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rPr>
              <w:t>年平均质量浓度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年平均质量浓度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lang w:val="en-US" w:eastAsia="zh-CN"/>
              </w:rPr>
              <w:t>第90百分位8h平均</w:t>
            </w:r>
            <w:r>
              <w:rPr>
                <w:rFonts w:hint="default" w:ascii="Times New Roman" w:hAnsi="Times New Roman" w:eastAsia="宋体" w:cs="Times New Roman"/>
                <w:color w:val="auto"/>
                <w:sz w:val="24"/>
                <w:szCs w:val="24"/>
                <w:highlight w:val="none"/>
              </w:rPr>
              <w:t>浓度</w:t>
            </w:r>
            <w:r>
              <w:rPr>
                <w:rFonts w:hint="default" w:ascii="Times New Roman" w:hAnsi="Times New Roman" w:eastAsia="宋体" w:cs="Times New Roman"/>
                <w:color w:val="auto"/>
                <w:sz w:val="24"/>
                <w:szCs w:val="24"/>
                <w:highlight w:val="none"/>
                <w:lang w:val="en-US" w:eastAsia="zh-CN"/>
              </w:rPr>
              <w:t>超标。</w:t>
            </w:r>
            <w:r>
              <w:rPr>
                <w:rFonts w:hint="default" w:ascii="Times New Roman" w:hAnsi="Times New Roman" w:eastAsia="宋体" w:cs="Times New Roman"/>
                <w:color w:val="auto"/>
                <w:sz w:val="24"/>
                <w:szCs w:val="24"/>
                <w:highlight w:val="none"/>
              </w:rPr>
              <w:t>因此</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判断项目所在区域属不达标区</w:t>
            </w:r>
            <w:r>
              <w:rPr>
                <w:rFonts w:hint="default" w:ascii="Times New Roman" w:hAnsi="Times New Roman" w:eastAsia="宋体" w:cs="Times New Roman"/>
                <w:color w:val="auto"/>
                <w:sz w:val="24"/>
                <w:szCs w:val="24"/>
                <w:highlight w:val="none"/>
              </w:rPr>
              <w:t>。</w:t>
            </w:r>
          </w:p>
          <w:p w14:paraId="74EA91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（2）特征污染物监测</w:t>
            </w:r>
          </w:p>
          <w:p w14:paraId="745B90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本项目大气污染物特征因子为TSP</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氯化氢、硫酸雾、氟化物、非甲烷总烃。</w:t>
            </w:r>
          </w:p>
          <w:p w14:paraId="68AF72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根据环境影响评价网2021年10月20日发布的《建设项目环境影响报告表》内容、格式及编制技术指南常见问题解答第7条复技术指南中提到“排放国家、地方环境空气质量标准中有标准限值要求的特征污染物”</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其中环境空气质量标准指《环境空气质量标准》（GB3095）和地方的环境空气质量标准</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不包括《环境影响评价技术导则 大气环境》（HJ2.2-2018）附录D、《工业企业设计卫生标准》（TJ36-97）、《前苏联居住区标准》（CH245-71）、《环境影响评价技术导则 制药建设项目》（HJ611-2011）、《大气污染物综合排放标准详解》等导则或参考资料”。</w:t>
            </w:r>
            <w:r>
              <w:rPr>
                <w:rFonts w:hint="eastAsia" w:ascii="Times New Roman" w:hAnsi="Times New Roman" w:eastAsia="宋体" w:cs="Times New Roman"/>
                <w:color w:val="auto"/>
                <w:sz w:val="24"/>
                <w:szCs w:val="24"/>
                <w:highlight w:val="none"/>
                <w:lang w:val="en-US" w:eastAsia="zh-CN"/>
              </w:rPr>
              <w:t>其中</w:t>
            </w:r>
            <w:r>
              <w:rPr>
                <w:rFonts w:hint="eastAsia" w:ascii="Times New Roman" w:hAnsi="Times New Roman" w:eastAsia="宋体" w:cs="Times New Roman"/>
                <w:color w:val="auto"/>
                <w:sz w:val="24"/>
                <w:szCs w:val="24"/>
                <w:highlight w:val="none"/>
                <w:lang w:eastAsia="zh-CN"/>
              </w:rPr>
              <w:t>《大气污染物综合排放标准详解》</w:t>
            </w:r>
            <w:r>
              <w:rPr>
                <w:rFonts w:hint="eastAsia" w:ascii="Times New Roman" w:hAnsi="Times New Roman" w:eastAsia="宋体" w:cs="Times New Roman"/>
                <w:color w:val="auto"/>
                <w:sz w:val="24"/>
                <w:szCs w:val="24"/>
                <w:highlight w:val="none"/>
                <w:lang w:val="en-US" w:eastAsia="zh-CN"/>
              </w:rPr>
              <w:t>中规定了</w:t>
            </w:r>
            <w:r>
              <w:rPr>
                <w:rFonts w:hint="eastAsia" w:cs="Times New Roman"/>
                <w:color w:val="auto"/>
                <w:sz w:val="24"/>
                <w:szCs w:val="24"/>
                <w:highlight w:val="none"/>
                <w:lang w:val="en-US" w:eastAsia="zh-CN"/>
              </w:rPr>
              <w:t>氯化氢、硫酸雾、氟化物、非甲烷总烃</w:t>
            </w:r>
            <w:r>
              <w:rPr>
                <w:rFonts w:hint="eastAsia" w:ascii="Times New Roman" w:hAnsi="Times New Roman" w:eastAsia="宋体" w:cs="Times New Roman"/>
                <w:color w:val="auto"/>
                <w:sz w:val="24"/>
                <w:szCs w:val="24"/>
                <w:highlight w:val="none"/>
                <w:lang w:val="en-US" w:eastAsia="zh-CN"/>
              </w:rPr>
              <w:t>的标准限值</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故本项目无需对</w:t>
            </w:r>
            <w:r>
              <w:rPr>
                <w:rFonts w:hint="eastAsia" w:cs="Times New Roman"/>
                <w:color w:val="auto"/>
                <w:sz w:val="24"/>
                <w:szCs w:val="24"/>
                <w:highlight w:val="none"/>
                <w:lang w:val="en-US" w:eastAsia="zh-CN"/>
              </w:rPr>
              <w:t>氯化氢、硫酸雾、氟化物、非甲烷总烃</w:t>
            </w:r>
            <w:r>
              <w:rPr>
                <w:rFonts w:hint="eastAsia" w:ascii="Times New Roman" w:hAnsi="Times New Roman" w:eastAsia="宋体" w:cs="Times New Roman"/>
                <w:color w:val="auto"/>
                <w:sz w:val="24"/>
                <w:szCs w:val="24"/>
                <w:highlight w:val="none"/>
                <w:lang w:val="en-US" w:eastAsia="zh-CN"/>
              </w:rPr>
              <w:t>进行现状监测</w:t>
            </w:r>
            <w:r>
              <w:rPr>
                <w:rFonts w:hint="eastAsia" w:cs="Times New Roman"/>
                <w:color w:val="auto"/>
                <w:sz w:val="24"/>
                <w:szCs w:val="24"/>
                <w:highlight w:val="none"/>
                <w:lang w:val="en-US" w:eastAsia="zh-CN"/>
              </w:rPr>
              <w:t>。</w:t>
            </w:r>
          </w:p>
          <w:p w14:paraId="13BE99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TSP委托陕西博森检测技术有限公司对评价区域TSP环境质量现状进行监测，监测时间2023年12月22日～2023年12月25日，根据监测报告，环境空气质量现状监测结果见下表</w:t>
            </w:r>
            <w:r>
              <w:rPr>
                <w:rFonts w:hint="eastAsia" w:ascii="Times New Roman" w:hAnsi="Times New Roman" w:eastAsia="宋体" w:cs="Times New Roman"/>
                <w:color w:val="auto"/>
                <w:sz w:val="24"/>
                <w:szCs w:val="24"/>
                <w:highlight w:val="none"/>
                <w:lang w:eastAsia="zh-CN"/>
              </w:rPr>
              <w:t>：</w:t>
            </w:r>
          </w:p>
          <w:p w14:paraId="54A66EA9">
            <w:pPr>
              <w:keepNext w:val="0"/>
              <w:keepLines w:val="0"/>
              <w:suppressLineNumbers w:val="0"/>
              <w:spacing w:before="0" w:beforeAutospacing="0" w:after="0" w:afterAutospacing="0" w:line="240" w:lineRule="auto"/>
              <w:ind w:left="0" w:right="0" w:firstLine="48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表 3-2 其他污染物环境质量现状监测结果表</w:t>
            </w:r>
          </w:p>
          <w:tbl>
            <w:tblPr>
              <w:tblStyle w:val="10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644"/>
              <w:gridCol w:w="1150"/>
              <w:gridCol w:w="1128"/>
              <w:gridCol w:w="1264"/>
              <w:gridCol w:w="1201"/>
              <w:gridCol w:w="892"/>
            </w:tblGrid>
            <w:tr w14:paraId="0AC74C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596" w:type="pct"/>
                  <w:tcBorders>
                    <w:tl2br w:val="nil"/>
                    <w:tr2bl w:val="nil"/>
                  </w:tcBorders>
                  <w:vAlign w:val="center"/>
                </w:tcPr>
                <w:p w14:paraId="46263DC4">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日期</w:t>
                  </w:r>
                </w:p>
              </w:tc>
              <w:tc>
                <w:tcPr>
                  <w:tcW w:w="694" w:type="pct"/>
                  <w:tcBorders>
                    <w:tl2br w:val="nil"/>
                    <w:tr2bl w:val="nil"/>
                  </w:tcBorders>
                  <w:vAlign w:val="center"/>
                </w:tcPr>
                <w:p w14:paraId="2032C930">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污染物</w:t>
                  </w:r>
                </w:p>
              </w:tc>
              <w:tc>
                <w:tcPr>
                  <w:tcW w:w="681" w:type="pct"/>
                  <w:tcBorders>
                    <w:tl2br w:val="nil"/>
                    <w:tr2bl w:val="nil"/>
                  </w:tcBorders>
                  <w:vAlign w:val="center"/>
                </w:tcPr>
                <w:p w14:paraId="7CB35E10">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监测类型</w:t>
                  </w:r>
                </w:p>
              </w:tc>
              <w:tc>
                <w:tcPr>
                  <w:tcW w:w="763" w:type="pct"/>
                  <w:tcBorders>
                    <w:tl2br w:val="nil"/>
                    <w:tr2bl w:val="nil"/>
                  </w:tcBorders>
                  <w:vAlign w:val="center"/>
                </w:tcPr>
                <w:p w14:paraId="286394E9">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监测结果(µg/m</w:t>
                  </w:r>
                  <w:r>
                    <w:rPr>
                      <w:rFonts w:hint="default" w:ascii="Times New Roman" w:hAnsi="Times New Roman" w:eastAsia="宋体" w:cs="Times New Roman"/>
                      <w:b/>
                      <w:bCs w:val="0"/>
                      <w:color w:val="auto"/>
                      <w:kern w:val="0"/>
                      <w:sz w:val="21"/>
                      <w:szCs w:val="21"/>
                      <w:highlight w:val="none"/>
                      <w:vertAlign w:val="superscript"/>
                      <w:lang w:bidi="ar"/>
                    </w:rPr>
                    <w:t>3</w:t>
                  </w:r>
                  <w:r>
                    <w:rPr>
                      <w:rFonts w:hint="default" w:ascii="Times New Roman" w:hAnsi="Times New Roman" w:eastAsia="宋体" w:cs="Times New Roman"/>
                      <w:b/>
                      <w:bCs w:val="0"/>
                      <w:color w:val="auto"/>
                      <w:kern w:val="0"/>
                      <w:sz w:val="21"/>
                      <w:szCs w:val="21"/>
                      <w:highlight w:val="none"/>
                      <w:lang w:bidi="ar"/>
                    </w:rPr>
                    <w:t>）</w:t>
                  </w:r>
                </w:p>
              </w:tc>
              <w:tc>
                <w:tcPr>
                  <w:tcW w:w="725" w:type="pct"/>
                  <w:tcBorders>
                    <w:tl2br w:val="nil"/>
                    <w:tr2bl w:val="nil"/>
                  </w:tcBorders>
                  <w:vAlign w:val="center"/>
                </w:tcPr>
                <w:p w14:paraId="3A8F4FDC">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标准限值(µg/m</w:t>
                  </w:r>
                  <w:r>
                    <w:rPr>
                      <w:rFonts w:hint="default" w:ascii="Times New Roman" w:hAnsi="Times New Roman" w:eastAsia="宋体" w:cs="Times New Roman"/>
                      <w:b/>
                      <w:bCs w:val="0"/>
                      <w:color w:val="auto"/>
                      <w:kern w:val="0"/>
                      <w:sz w:val="21"/>
                      <w:szCs w:val="21"/>
                      <w:highlight w:val="none"/>
                      <w:vertAlign w:val="superscript"/>
                      <w:lang w:bidi="ar"/>
                    </w:rPr>
                    <w:t>3</w:t>
                  </w:r>
                  <w:r>
                    <w:rPr>
                      <w:rFonts w:hint="default" w:ascii="Times New Roman" w:hAnsi="Times New Roman" w:eastAsia="宋体" w:cs="Times New Roman"/>
                      <w:b/>
                      <w:bCs w:val="0"/>
                      <w:color w:val="auto"/>
                      <w:kern w:val="0"/>
                      <w:sz w:val="21"/>
                      <w:szCs w:val="21"/>
                      <w:highlight w:val="none"/>
                      <w:lang w:bidi="ar"/>
                    </w:rPr>
                    <w:t>）</w:t>
                  </w:r>
                </w:p>
              </w:tc>
              <w:tc>
                <w:tcPr>
                  <w:tcW w:w="538" w:type="pct"/>
                  <w:tcBorders>
                    <w:tl2br w:val="nil"/>
                    <w:tr2bl w:val="nil"/>
                  </w:tcBorders>
                  <w:vAlign w:val="center"/>
                </w:tcPr>
                <w:p w14:paraId="2AE7E2BA">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达标</w:t>
                  </w:r>
                </w:p>
                <w:p w14:paraId="2F968383">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val="0"/>
                      <w:color w:val="auto"/>
                      <w:kern w:val="0"/>
                      <w:sz w:val="21"/>
                      <w:szCs w:val="21"/>
                      <w:highlight w:val="none"/>
                      <w:lang w:bidi="ar"/>
                    </w:rPr>
                  </w:pPr>
                  <w:r>
                    <w:rPr>
                      <w:rFonts w:hint="default" w:ascii="Times New Roman" w:hAnsi="Times New Roman" w:eastAsia="宋体" w:cs="Times New Roman"/>
                      <w:b/>
                      <w:bCs w:val="0"/>
                      <w:color w:val="auto"/>
                      <w:kern w:val="0"/>
                      <w:sz w:val="21"/>
                      <w:szCs w:val="21"/>
                      <w:highlight w:val="none"/>
                      <w:lang w:bidi="ar"/>
                    </w:rPr>
                    <w:t>情况</w:t>
                  </w:r>
                </w:p>
              </w:tc>
            </w:tr>
            <w:tr w14:paraId="78E490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596" w:type="pct"/>
                  <w:tcBorders>
                    <w:tl2br w:val="nil"/>
                    <w:tr2bl w:val="nil"/>
                  </w:tcBorders>
                  <w:vAlign w:val="center"/>
                </w:tcPr>
                <w:p w14:paraId="0155EAA9">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2023年12月22日～23日</w:t>
                  </w:r>
                </w:p>
              </w:tc>
              <w:tc>
                <w:tcPr>
                  <w:tcW w:w="694" w:type="pct"/>
                  <w:tcBorders>
                    <w:tl2br w:val="nil"/>
                    <w:tr2bl w:val="nil"/>
                  </w:tcBorders>
                  <w:vAlign w:val="center"/>
                </w:tcPr>
                <w:p w14:paraId="48F551D6">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TSP</w:t>
                  </w:r>
                </w:p>
              </w:tc>
              <w:tc>
                <w:tcPr>
                  <w:tcW w:w="681" w:type="pct"/>
                  <w:tcBorders>
                    <w:tl2br w:val="nil"/>
                    <w:tr2bl w:val="nil"/>
                  </w:tcBorders>
                  <w:vAlign w:val="center"/>
                </w:tcPr>
                <w:p w14:paraId="7B4D61C8">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日均值</w:t>
                  </w:r>
                </w:p>
              </w:tc>
              <w:tc>
                <w:tcPr>
                  <w:tcW w:w="763" w:type="pct"/>
                  <w:tcBorders>
                    <w:tl2br w:val="nil"/>
                    <w:tr2bl w:val="nil"/>
                  </w:tcBorders>
                  <w:vAlign w:val="center"/>
                </w:tcPr>
                <w:p w14:paraId="117CFBD3">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265</w:t>
                  </w:r>
                </w:p>
              </w:tc>
              <w:tc>
                <w:tcPr>
                  <w:tcW w:w="725" w:type="pct"/>
                  <w:tcBorders>
                    <w:tl2br w:val="nil"/>
                    <w:tr2bl w:val="nil"/>
                  </w:tcBorders>
                  <w:vAlign w:val="center"/>
                </w:tcPr>
                <w:p w14:paraId="687EFCA4">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300</w:t>
                  </w:r>
                </w:p>
              </w:tc>
              <w:tc>
                <w:tcPr>
                  <w:tcW w:w="538" w:type="pct"/>
                  <w:tcBorders>
                    <w:tl2br w:val="nil"/>
                    <w:tr2bl w:val="nil"/>
                  </w:tcBorders>
                  <w:vAlign w:val="center"/>
                </w:tcPr>
                <w:p w14:paraId="3A7FD747">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达标</w:t>
                  </w:r>
                </w:p>
              </w:tc>
            </w:tr>
            <w:tr w14:paraId="1B2D28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596" w:type="pct"/>
                  <w:tcBorders>
                    <w:tl2br w:val="nil"/>
                    <w:tr2bl w:val="nil"/>
                  </w:tcBorders>
                  <w:vAlign w:val="center"/>
                </w:tcPr>
                <w:p w14:paraId="0FD810D2">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2023年12月23日～24日</w:t>
                  </w:r>
                </w:p>
              </w:tc>
              <w:tc>
                <w:tcPr>
                  <w:tcW w:w="694" w:type="pct"/>
                  <w:tcBorders>
                    <w:tl2br w:val="nil"/>
                    <w:tr2bl w:val="nil"/>
                  </w:tcBorders>
                  <w:vAlign w:val="center"/>
                </w:tcPr>
                <w:p w14:paraId="79B2AD0B">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TSP</w:t>
                  </w:r>
                </w:p>
              </w:tc>
              <w:tc>
                <w:tcPr>
                  <w:tcW w:w="681" w:type="pct"/>
                  <w:tcBorders>
                    <w:tl2br w:val="nil"/>
                    <w:tr2bl w:val="nil"/>
                  </w:tcBorders>
                  <w:vAlign w:val="center"/>
                </w:tcPr>
                <w:p w14:paraId="680748FB">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日均值</w:t>
                  </w:r>
                </w:p>
              </w:tc>
              <w:tc>
                <w:tcPr>
                  <w:tcW w:w="763" w:type="pct"/>
                  <w:tcBorders>
                    <w:tl2br w:val="nil"/>
                    <w:tr2bl w:val="nil"/>
                  </w:tcBorders>
                  <w:vAlign w:val="center"/>
                </w:tcPr>
                <w:p w14:paraId="5A3A186D">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290</w:t>
                  </w:r>
                </w:p>
              </w:tc>
              <w:tc>
                <w:tcPr>
                  <w:tcW w:w="725" w:type="pct"/>
                  <w:tcBorders>
                    <w:tl2br w:val="nil"/>
                    <w:tr2bl w:val="nil"/>
                  </w:tcBorders>
                  <w:vAlign w:val="center"/>
                </w:tcPr>
                <w:p w14:paraId="71BE438B">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300</w:t>
                  </w:r>
                </w:p>
              </w:tc>
              <w:tc>
                <w:tcPr>
                  <w:tcW w:w="538" w:type="pct"/>
                  <w:tcBorders>
                    <w:tl2br w:val="nil"/>
                    <w:tr2bl w:val="nil"/>
                  </w:tcBorders>
                  <w:vAlign w:val="center"/>
                </w:tcPr>
                <w:p w14:paraId="0E2378F4">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达标</w:t>
                  </w:r>
                </w:p>
              </w:tc>
            </w:tr>
            <w:tr w14:paraId="7F22D8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1596" w:type="pct"/>
                  <w:tcBorders>
                    <w:tl2br w:val="nil"/>
                    <w:tr2bl w:val="nil"/>
                  </w:tcBorders>
                  <w:vAlign w:val="center"/>
                </w:tcPr>
                <w:p w14:paraId="79CADADC">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2023年12月24日～25日</w:t>
                  </w:r>
                </w:p>
              </w:tc>
              <w:tc>
                <w:tcPr>
                  <w:tcW w:w="694" w:type="pct"/>
                  <w:tcBorders>
                    <w:tl2br w:val="nil"/>
                    <w:tr2bl w:val="nil"/>
                  </w:tcBorders>
                  <w:vAlign w:val="center"/>
                </w:tcPr>
                <w:p w14:paraId="730E15B7">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TSP</w:t>
                  </w:r>
                </w:p>
              </w:tc>
              <w:tc>
                <w:tcPr>
                  <w:tcW w:w="681" w:type="pct"/>
                  <w:tcBorders>
                    <w:tl2br w:val="nil"/>
                    <w:tr2bl w:val="nil"/>
                  </w:tcBorders>
                  <w:vAlign w:val="center"/>
                </w:tcPr>
                <w:p w14:paraId="1B6168A3">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日均值</w:t>
                  </w:r>
                </w:p>
              </w:tc>
              <w:tc>
                <w:tcPr>
                  <w:tcW w:w="763" w:type="pct"/>
                  <w:tcBorders>
                    <w:tl2br w:val="nil"/>
                    <w:tr2bl w:val="nil"/>
                  </w:tcBorders>
                  <w:vAlign w:val="center"/>
                </w:tcPr>
                <w:p w14:paraId="009ACE40">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366</w:t>
                  </w:r>
                </w:p>
              </w:tc>
              <w:tc>
                <w:tcPr>
                  <w:tcW w:w="725" w:type="pct"/>
                  <w:tcBorders>
                    <w:tl2br w:val="nil"/>
                    <w:tr2bl w:val="nil"/>
                  </w:tcBorders>
                  <w:vAlign w:val="center"/>
                </w:tcPr>
                <w:p w14:paraId="0F62FC07">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300</w:t>
                  </w:r>
                </w:p>
              </w:tc>
              <w:tc>
                <w:tcPr>
                  <w:tcW w:w="538" w:type="pct"/>
                  <w:tcBorders>
                    <w:tl2br w:val="nil"/>
                    <w:tr2bl w:val="nil"/>
                  </w:tcBorders>
                  <w:vAlign w:val="center"/>
                </w:tcPr>
                <w:p w14:paraId="7FC13D79">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超标</w:t>
                  </w:r>
                </w:p>
              </w:tc>
            </w:tr>
          </w:tbl>
          <w:p w14:paraId="49D4AC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由表3-2可知，监测期间，2023年12月22日～24日监测点所在地TSP</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24小时平均浓度可满足《环境空气质量标准》（GB3095-2012）二级标准。2023年12月24日～25日监测点所在地TSP</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24小时平均浓度超过《环境空气质量标准》（GB3095-2012）二级标准，超标原因为关中平原地区冬季空气质量较差，2023年12月24日西安市重污染天气应急指挥部办公室发布重污染天气橙色预警通知，实施重污染天气Ⅱ级应急响应减排措施。</w:t>
            </w:r>
          </w:p>
          <w:p w14:paraId="26086CC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2、声环境质量现状</w:t>
            </w:r>
          </w:p>
          <w:p w14:paraId="4C7BF20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color w:val="auto"/>
                <w:sz w:val="21"/>
                <w:szCs w:val="24"/>
                <w:highlight w:val="none"/>
              </w:rPr>
            </w:pPr>
            <w:r>
              <w:rPr>
                <w:rFonts w:hint="default" w:ascii="Times New Roman" w:hAnsi="Times New Roman" w:eastAsia="宋体" w:cs="Times New Roman"/>
                <w:color w:val="auto"/>
                <w:sz w:val="24"/>
                <w:szCs w:val="24"/>
                <w:highlight w:val="none"/>
              </w:rPr>
              <w:t>根据《建设项目环境影响报告表编制技术指南（污染影响类）》（2021年版）中声环境评价要求，对厂界周边50m范围内的声环境保护目标进行监测。根据现场踏勘，本项目厂区西侧50米处的西联庄和厂区南侧52米处的东联庄，本项目的声环境敏感点的现状监测详见下表</w:t>
            </w:r>
            <w:r>
              <w:rPr>
                <w:rFonts w:hint="eastAsia" w:cs="Times New Roman"/>
                <w:color w:val="auto"/>
                <w:sz w:val="24"/>
                <w:szCs w:val="24"/>
                <w:highlight w:val="none"/>
                <w:lang w:eastAsia="zh-CN"/>
              </w:rPr>
              <w:t>：</w:t>
            </w:r>
          </w:p>
          <w:p w14:paraId="4EC6A8B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 w:val="21"/>
                <w:szCs w:val="24"/>
                <w:highlight w:val="none"/>
              </w:rPr>
            </w:pPr>
            <w:r>
              <w:rPr>
                <w:rFonts w:hint="default" w:ascii="Times New Roman" w:hAnsi="Times New Roman" w:eastAsia="宋体" w:cs="Times New Roman"/>
                <w:b/>
                <w:color w:val="auto"/>
                <w:sz w:val="21"/>
                <w:szCs w:val="24"/>
                <w:highlight w:val="none"/>
              </w:rPr>
              <w:t>表3-</w:t>
            </w:r>
            <w:r>
              <w:rPr>
                <w:rFonts w:hint="default" w:ascii="Times New Roman" w:hAnsi="Times New Roman" w:eastAsia="宋体" w:cs="Times New Roman"/>
                <w:b/>
                <w:color w:val="auto"/>
                <w:sz w:val="21"/>
                <w:szCs w:val="24"/>
                <w:highlight w:val="none"/>
                <w:lang w:val="en-US" w:eastAsia="zh-CN"/>
              </w:rPr>
              <w:t>3</w:t>
            </w:r>
            <w:r>
              <w:rPr>
                <w:rFonts w:hint="default" w:ascii="Times New Roman" w:hAnsi="Times New Roman" w:eastAsia="宋体" w:cs="Times New Roman"/>
                <w:b/>
                <w:color w:val="auto"/>
                <w:sz w:val="21"/>
                <w:szCs w:val="24"/>
                <w:highlight w:val="none"/>
              </w:rPr>
              <w:t xml:space="preserve">   声环境质量监测结果单位（dB（A））</w:t>
            </w:r>
          </w:p>
          <w:tbl>
            <w:tblPr>
              <w:tblStyle w:val="2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1394"/>
              <w:gridCol w:w="1394"/>
              <w:gridCol w:w="1864"/>
              <w:gridCol w:w="1337"/>
            </w:tblGrid>
            <w:tr w14:paraId="2FEED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1" w:type="pct"/>
                  <w:vMerge w:val="restart"/>
                  <w:tcBorders>
                    <w:tl2br w:val="nil"/>
                    <w:tr2bl w:val="nil"/>
                  </w:tcBorders>
                  <w:noWrap w:val="0"/>
                  <w:vAlign w:val="center"/>
                </w:tcPr>
                <w:p w14:paraId="395055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bookmarkStart w:id="3" w:name="_Toc1200"/>
                  <w:r>
                    <w:rPr>
                      <w:rFonts w:hint="default" w:ascii="Times New Roman" w:hAnsi="Times New Roman" w:eastAsia="宋体" w:cs="Times New Roman"/>
                      <w:b/>
                      <w:color w:val="auto"/>
                      <w:sz w:val="21"/>
                      <w:szCs w:val="21"/>
                      <w:highlight w:val="none"/>
                    </w:rPr>
                    <w:t>位置</w:t>
                  </w:r>
                  <w:bookmarkEnd w:id="3"/>
                </w:p>
              </w:tc>
              <w:tc>
                <w:tcPr>
                  <w:tcW w:w="1684" w:type="pct"/>
                  <w:gridSpan w:val="2"/>
                  <w:tcBorders>
                    <w:tl2br w:val="nil"/>
                    <w:tr2bl w:val="nil"/>
                  </w:tcBorders>
                  <w:noWrap w:val="0"/>
                  <w:vAlign w:val="center"/>
                </w:tcPr>
                <w:p w14:paraId="1F5BC1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bookmarkStart w:id="4" w:name="_Toc929"/>
                  <w:r>
                    <w:rPr>
                      <w:rFonts w:hint="default" w:ascii="Times New Roman" w:hAnsi="Times New Roman" w:eastAsia="宋体" w:cs="Times New Roman"/>
                      <w:b/>
                      <w:color w:val="auto"/>
                      <w:sz w:val="21"/>
                      <w:szCs w:val="21"/>
                      <w:highlight w:val="none"/>
                    </w:rPr>
                    <w:t>监测结果</w:t>
                  </w:r>
                  <w:bookmarkEnd w:id="4"/>
                </w:p>
              </w:tc>
              <w:tc>
                <w:tcPr>
                  <w:tcW w:w="1126" w:type="pct"/>
                  <w:vMerge w:val="restart"/>
                  <w:tcBorders>
                    <w:tl2br w:val="nil"/>
                    <w:tr2bl w:val="nil"/>
                  </w:tcBorders>
                  <w:noWrap w:val="0"/>
                  <w:vAlign w:val="center"/>
                </w:tcPr>
                <w:p w14:paraId="21AB60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w:t>
                  </w:r>
                </w:p>
              </w:tc>
              <w:tc>
                <w:tcPr>
                  <w:tcW w:w="807" w:type="pct"/>
                  <w:vMerge w:val="restart"/>
                  <w:tcBorders>
                    <w:tl2br w:val="nil"/>
                    <w:tr2bl w:val="nil"/>
                  </w:tcBorders>
                  <w:noWrap w:val="0"/>
                  <w:vAlign w:val="center"/>
                </w:tcPr>
                <w:p w14:paraId="66CEFE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是否达标</w:t>
                  </w:r>
                </w:p>
              </w:tc>
            </w:tr>
            <w:tr w14:paraId="15EAC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1" w:type="pct"/>
                  <w:vMerge w:val="continue"/>
                  <w:tcBorders>
                    <w:tl2br w:val="nil"/>
                    <w:tr2bl w:val="nil"/>
                  </w:tcBorders>
                  <w:noWrap w:val="0"/>
                  <w:vAlign w:val="center"/>
                </w:tcPr>
                <w:p w14:paraId="6513ABC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 w:val="21"/>
                      <w:szCs w:val="21"/>
                      <w:highlight w:val="none"/>
                    </w:rPr>
                  </w:pPr>
                </w:p>
              </w:tc>
              <w:tc>
                <w:tcPr>
                  <w:tcW w:w="1684" w:type="pct"/>
                  <w:gridSpan w:val="2"/>
                  <w:tcBorders>
                    <w:tl2br w:val="nil"/>
                    <w:tr2bl w:val="nil"/>
                  </w:tcBorders>
                  <w:noWrap w:val="0"/>
                  <w:vAlign w:val="center"/>
                </w:tcPr>
                <w:p w14:paraId="43CAB3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202</w:t>
                  </w:r>
                  <w:r>
                    <w:rPr>
                      <w:rFonts w:hint="eastAsia"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年</w:t>
                  </w:r>
                  <w:r>
                    <w:rPr>
                      <w:rFonts w:hint="default" w:ascii="Times New Roman" w:hAnsi="Times New Roman" w:eastAsia="宋体" w:cs="Times New Roman"/>
                      <w:b/>
                      <w:color w:val="auto"/>
                      <w:sz w:val="21"/>
                      <w:szCs w:val="21"/>
                      <w:highlight w:val="none"/>
                      <w:lang w:val="en-US" w:eastAsia="zh-CN"/>
                    </w:rPr>
                    <w:t>1</w:t>
                  </w:r>
                  <w:r>
                    <w:rPr>
                      <w:rFonts w:hint="eastAsia"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月</w:t>
                  </w:r>
                  <w:r>
                    <w:rPr>
                      <w:rFonts w:hint="default" w:ascii="Times New Roman" w:hAnsi="Times New Roman" w:eastAsia="宋体" w:cs="Times New Roman"/>
                      <w:b/>
                      <w:color w:val="auto"/>
                      <w:sz w:val="21"/>
                      <w:szCs w:val="21"/>
                      <w:highlight w:val="none"/>
                      <w:lang w:val="en-US" w:eastAsia="zh-CN"/>
                    </w:rPr>
                    <w:t>2</w:t>
                  </w:r>
                  <w:r>
                    <w:rPr>
                      <w:rFonts w:hint="eastAsia"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日</w:t>
                  </w:r>
                </w:p>
              </w:tc>
              <w:tc>
                <w:tcPr>
                  <w:tcW w:w="1126" w:type="pct"/>
                  <w:vMerge w:val="continue"/>
                  <w:tcBorders>
                    <w:tl2br w:val="nil"/>
                    <w:tr2bl w:val="nil"/>
                  </w:tcBorders>
                  <w:noWrap w:val="0"/>
                  <w:vAlign w:val="center"/>
                </w:tcPr>
                <w:p w14:paraId="1B30B01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 w:val="21"/>
                      <w:szCs w:val="21"/>
                      <w:highlight w:val="none"/>
                    </w:rPr>
                  </w:pPr>
                </w:p>
              </w:tc>
              <w:tc>
                <w:tcPr>
                  <w:tcW w:w="807" w:type="pct"/>
                  <w:vMerge w:val="continue"/>
                  <w:tcBorders>
                    <w:tl2br w:val="nil"/>
                    <w:tr2bl w:val="nil"/>
                  </w:tcBorders>
                  <w:noWrap w:val="0"/>
                  <w:vAlign w:val="center"/>
                </w:tcPr>
                <w:p w14:paraId="6DB551F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 w:val="21"/>
                      <w:szCs w:val="21"/>
                      <w:highlight w:val="none"/>
                    </w:rPr>
                  </w:pPr>
                </w:p>
              </w:tc>
            </w:tr>
            <w:tr w14:paraId="13BAC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1" w:type="pct"/>
                  <w:vMerge w:val="continue"/>
                  <w:tcBorders>
                    <w:tl2br w:val="nil"/>
                    <w:tr2bl w:val="nil"/>
                  </w:tcBorders>
                  <w:noWrap w:val="0"/>
                  <w:vAlign w:val="center"/>
                </w:tcPr>
                <w:p w14:paraId="7F9F921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 w:val="21"/>
                      <w:szCs w:val="21"/>
                      <w:highlight w:val="none"/>
                    </w:rPr>
                  </w:pPr>
                </w:p>
              </w:tc>
              <w:tc>
                <w:tcPr>
                  <w:tcW w:w="842" w:type="pct"/>
                  <w:tcBorders>
                    <w:tl2br w:val="nil"/>
                    <w:tr2bl w:val="nil"/>
                  </w:tcBorders>
                  <w:noWrap w:val="0"/>
                  <w:vAlign w:val="center"/>
                </w:tcPr>
                <w:p w14:paraId="095AE1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昼间</w:t>
                  </w:r>
                </w:p>
              </w:tc>
              <w:tc>
                <w:tcPr>
                  <w:tcW w:w="842" w:type="pct"/>
                  <w:tcBorders>
                    <w:tl2br w:val="nil"/>
                    <w:tr2bl w:val="nil"/>
                  </w:tcBorders>
                  <w:noWrap w:val="0"/>
                  <w:vAlign w:val="center"/>
                </w:tcPr>
                <w:p w14:paraId="2C0D92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夜间</w:t>
                  </w:r>
                </w:p>
              </w:tc>
              <w:tc>
                <w:tcPr>
                  <w:tcW w:w="1126" w:type="pct"/>
                  <w:vMerge w:val="continue"/>
                  <w:tcBorders>
                    <w:tl2br w:val="nil"/>
                    <w:tr2bl w:val="nil"/>
                  </w:tcBorders>
                  <w:noWrap w:val="0"/>
                  <w:vAlign w:val="center"/>
                </w:tcPr>
                <w:p w14:paraId="6615797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 w:val="21"/>
                      <w:szCs w:val="21"/>
                      <w:highlight w:val="none"/>
                    </w:rPr>
                  </w:pPr>
                </w:p>
              </w:tc>
              <w:tc>
                <w:tcPr>
                  <w:tcW w:w="807" w:type="pct"/>
                  <w:vMerge w:val="continue"/>
                  <w:tcBorders>
                    <w:tl2br w:val="nil"/>
                    <w:tr2bl w:val="nil"/>
                  </w:tcBorders>
                  <w:noWrap w:val="0"/>
                  <w:vAlign w:val="center"/>
                </w:tcPr>
                <w:p w14:paraId="7683E8B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 w:val="21"/>
                      <w:szCs w:val="21"/>
                      <w:highlight w:val="none"/>
                    </w:rPr>
                  </w:pPr>
                </w:p>
              </w:tc>
            </w:tr>
            <w:tr w14:paraId="20948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1" w:type="pct"/>
                  <w:tcBorders>
                    <w:tl2br w:val="nil"/>
                    <w:tr2bl w:val="nil"/>
                  </w:tcBorders>
                  <w:noWrap w:val="0"/>
                  <w:vAlign w:val="center"/>
                </w:tcPr>
                <w:p w14:paraId="01C6420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spacing w:val="4"/>
                      <w:sz w:val="21"/>
                      <w:szCs w:val="21"/>
                      <w:highlight w:val="none"/>
                    </w:rPr>
                    <w:t>东联庄</w:t>
                  </w:r>
                </w:p>
              </w:tc>
              <w:tc>
                <w:tcPr>
                  <w:tcW w:w="1394" w:type="dxa"/>
                  <w:tcBorders>
                    <w:tl2br w:val="nil"/>
                    <w:tr2bl w:val="nil"/>
                  </w:tcBorders>
                  <w:noWrap w:val="0"/>
                  <w:vAlign w:val="center"/>
                </w:tcPr>
                <w:p w14:paraId="0B6F00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42</w:t>
                  </w:r>
                </w:p>
              </w:tc>
              <w:tc>
                <w:tcPr>
                  <w:tcW w:w="1394" w:type="dxa"/>
                  <w:tcBorders>
                    <w:tl2br w:val="nil"/>
                    <w:tr2bl w:val="nil"/>
                  </w:tcBorders>
                  <w:noWrap w:val="0"/>
                  <w:vAlign w:val="center"/>
                </w:tcPr>
                <w:p w14:paraId="073A99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39</w:t>
                  </w:r>
                </w:p>
              </w:tc>
              <w:tc>
                <w:tcPr>
                  <w:tcW w:w="1126" w:type="pct"/>
                  <w:vMerge w:val="restart"/>
                  <w:tcBorders>
                    <w:tl2br w:val="nil"/>
                    <w:tr2bl w:val="nil"/>
                  </w:tcBorders>
                  <w:noWrap w:val="0"/>
                  <w:vAlign w:val="center"/>
                </w:tcPr>
                <w:p w14:paraId="25D041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dB（A）</w:t>
                  </w:r>
                </w:p>
                <w:p w14:paraId="61C2F3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dB（A）</w:t>
                  </w:r>
                </w:p>
              </w:tc>
              <w:tc>
                <w:tcPr>
                  <w:tcW w:w="807" w:type="pct"/>
                  <w:tcBorders>
                    <w:tl2br w:val="nil"/>
                    <w:tr2bl w:val="nil"/>
                  </w:tcBorders>
                  <w:noWrap w:val="0"/>
                  <w:vAlign w:val="center"/>
                </w:tcPr>
                <w:p w14:paraId="42CC88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7374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1" w:type="pct"/>
                  <w:tcBorders>
                    <w:tl2br w:val="nil"/>
                    <w:tr2bl w:val="nil"/>
                  </w:tcBorders>
                  <w:noWrap w:val="0"/>
                  <w:vAlign w:val="center"/>
                </w:tcPr>
                <w:p w14:paraId="5B565A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spacing w:val="5"/>
                      <w:sz w:val="21"/>
                      <w:szCs w:val="21"/>
                      <w:highlight w:val="none"/>
                    </w:rPr>
                    <w:t>西联庄</w:t>
                  </w:r>
                </w:p>
              </w:tc>
              <w:tc>
                <w:tcPr>
                  <w:tcW w:w="1394" w:type="dxa"/>
                  <w:tcBorders>
                    <w:tl2br w:val="nil"/>
                    <w:tr2bl w:val="nil"/>
                  </w:tcBorders>
                  <w:noWrap w:val="0"/>
                  <w:vAlign w:val="center"/>
                </w:tcPr>
                <w:p w14:paraId="01D4951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44</w:t>
                  </w:r>
                </w:p>
              </w:tc>
              <w:tc>
                <w:tcPr>
                  <w:tcW w:w="1394" w:type="dxa"/>
                  <w:tcBorders>
                    <w:tl2br w:val="nil"/>
                    <w:tr2bl w:val="nil"/>
                  </w:tcBorders>
                  <w:noWrap w:val="0"/>
                  <w:vAlign w:val="center"/>
                </w:tcPr>
                <w:p w14:paraId="0165108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41</w:t>
                  </w:r>
                </w:p>
              </w:tc>
              <w:tc>
                <w:tcPr>
                  <w:tcW w:w="1126" w:type="pct"/>
                  <w:vMerge w:val="continue"/>
                  <w:tcBorders>
                    <w:tl2br w:val="nil"/>
                    <w:tr2bl w:val="nil"/>
                  </w:tcBorders>
                  <w:noWrap w:val="0"/>
                  <w:vAlign w:val="center"/>
                </w:tcPr>
                <w:p w14:paraId="03D3BFF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807" w:type="pct"/>
                  <w:tcBorders>
                    <w:tl2br w:val="nil"/>
                    <w:tr2bl w:val="nil"/>
                  </w:tcBorders>
                  <w:noWrap w:val="0"/>
                  <w:vAlign w:val="center"/>
                </w:tcPr>
                <w:p w14:paraId="36CC6E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095BC14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由表3-3环境噪声监测结果可知，项目所在地声环境敏感点均满足《声环境质量标准》（GB3096-2008）表1中2类区标准限值“昼间60dB、夜间50dB”的要求。</w:t>
            </w:r>
          </w:p>
          <w:p w14:paraId="292798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3、地表水环境</w:t>
            </w:r>
          </w:p>
          <w:p w14:paraId="7769F42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本项目附近无地表水环境保护目标，无需进行现状监测。</w:t>
            </w:r>
          </w:p>
          <w:p w14:paraId="0E7138C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4、生态环境</w:t>
            </w:r>
          </w:p>
          <w:p w14:paraId="4EA79B2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根据《建设项目环境影响报告表编制技术指南》（污染影响类）（试行）， “产业园区外建设项目新增用地且用地范围内含有生态环境保护目标时，应进行生态现状调查”。本项目位于</w:t>
            </w:r>
            <w:r>
              <w:rPr>
                <w:rFonts w:hint="eastAsia" w:cs="Times New Roman"/>
                <w:color w:val="auto"/>
                <w:sz w:val="24"/>
                <w:szCs w:val="24"/>
                <w:highlight w:val="none"/>
                <w:lang w:val="en-US" w:eastAsia="zh-CN"/>
              </w:rPr>
              <w:t>陕西省西咸新区沣西新城创新港G板块，四至范围为CXG东南二路以东、创智路以北、CXG东南三路以西地块</w:t>
            </w:r>
            <w:r>
              <w:rPr>
                <w:rFonts w:hint="default"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占地范围内无自然保护区、风景名胜区、文化和自然遗产地等生态环境保护目标，无需进行生态现状调查。 </w:t>
            </w:r>
          </w:p>
          <w:p w14:paraId="48E2073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5、电磁辐射</w:t>
            </w:r>
          </w:p>
          <w:p w14:paraId="17CBBD7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项目不涉及电磁辐射。</w:t>
            </w:r>
          </w:p>
          <w:p w14:paraId="7F3BC7A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6、地下水、土壤环境</w:t>
            </w:r>
          </w:p>
          <w:p w14:paraId="621478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根据《建设项目环境影响报告表编制技术指南》（污染影响类）（试行），地下水、土壤环境原则上不开展环境质量现状调查。</w:t>
            </w:r>
            <w:r>
              <w:rPr>
                <w:rFonts w:hint="default" w:ascii="Times New Roman" w:hAnsi="Times New Roman" w:eastAsia="宋体" w:cs="Times New Roman"/>
                <w:color w:val="auto"/>
                <w:sz w:val="24"/>
                <w:szCs w:val="24"/>
                <w:highlight w:val="none"/>
                <w:lang w:val="en-US" w:eastAsia="zh-CN"/>
              </w:rPr>
              <w:t>本项目生产过程不涉及地下水、土壤污染途径。因此本次评价不对地下水、土壤环境进行现状调查。</w:t>
            </w:r>
          </w:p>
        </w:tc>
      </w:tr>
      <w:tr w14:paraId="07286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noWrap w:val="0"/>
            <w:vAlign w:val="center"/>
          </w:tcPr>
          <w:p w14:paraId="5902A0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26021B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14:paraId="134281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528" w:type="dxa"/>
            <w:noWrap w:val="0"/>
            <w:vAlign w:val="center"/>
          </w:tcPr>
          <w:p w14:paraId="23F1FF91">
            <w:pPr>
              <w:pStyle w:val="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本次评价项目的主要环境保护目标</w:t>
            </w:r>
            <w:r>
              <w:rPr>
                <w:rFonts w:hint="default" w:ascii="Times New Roman" w:hAnsi="Times New Roman" w:eastAsia="宋体" w:cs="Times New Roman"/>
                <w:color w:val="auto"/>
                <w:szCs w:val="24"/>
                <w:highlight w:val="none"/>
                <w:lang w:val="en-US" w:eastAsia="zh-CN"/>
              </w:rPr>
              <w:t>见下表，环境保护目标分布图见附图</w:t>
            </w:r>
            <w:r>
              <w:rPr>
                <w:rFonts w:hint="default" w:ascii="Times New Roman" w:hAnsi="Times New Roman" w:eastAsia="宋体" w:cs="Times New Roman"/>
                <w:color w:val="auto"/>
                <w:szCs w:val="24"/>
                <w:highlight w:val="none"/>
              </w:rPr>
              <w:t>：</w:t>
            </w:r>
          </w:p>
          <w:p w14:paraId="3F02928B">
            <w:pPr>
              <w:pStyle w:val="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3-</w:t>
            </w:r>
            <w:r>
              <w:rPr>
                <w:rFonts w:hint="eastAsia" w:ascii="Times New Roman" w:hAnsi="Times New Roman" w:eastAsia="宋体" w:cs="Times New Roman"/>
                <w:b/>
                <w:bCs w:val="0"/>
                <w:color w:val="auto"/>
                <w:sz w:val="21"/>
                <w:szCs w:val="21"/>
                <w:highlight w:val="none"/>
                <w:lang w:val="en-US" w:eastAsia="zh-CN"/>
              </w:rPr>
              <w:t>4</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val="en-US" w:eastAsia="zh-CN"/>
              </w:rPr>
              <w:t xml:space="preserve"> </w:t>
            </w:r>
            <w:r>
              <w:rPr>
                <w:rFonts w:hint="default" w:ascii="Times New Roman" w:hAnsi="Times New Roman" w:eastAsia="宋体" w:cs="Times New Roman"/>
                <w:b/>
                <w:bCs w:val="0"/>
                <w:color w:val="auto"/>
                <w:sz w:val="21"/>
                <w:szCs w:val="21"/>
                <w:highlight w:val="none"/>
              </w:rPr>
              <w:t>主要环境保护目标</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315"/>
              <w:gridCol w:w="1590"/>
              <w:gridCol w:w="1411"/>
              <w:gridCol w:w="742"/>
              <w:gridCol w:w="921"/>
              <w:gridCol w:w="995"/>
              <w:gridCol w:w="692"/>
            </w:tblGrid>
            <w:tr w14:paraId="1A356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0" w:type="pct"/>
                  <w:vMerge w:val="restart"/>
                  <w:tcBorders>
                    <w:tl2br w:val="nil"/>
                    <w:tr2bl w:val="nil"/>
                  </w:tcBorders>
                  <w:noWrap w:val="0"/>
                  <w:vAlign w:val="center"/>
                </w:tcPr>
                <w:p w14:paraId="2E0DE0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794" w:type="pct"/>
                  <w:vMerge w:val="restart"/>
                  <w:tcBorders>
                    <w:tl2br w:val="nil"/>
                    <w:tr2bl w:val="nil"/>
                  </w:tcBorders>
                  <w:noWrap w:val="0"/>
                  <w:vAlign w:val="center"/>
                </w:tcPr>
                <w:p w14:paraId="361C33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812" w:type="pct"/>
                  <w:gridSpan w:val="2"/>
                  <w:tcBorders>
                    <w:tl2br w:val="nil"/>
                    <w:tr2bl w:val="nil"/>
                  </w:tcBorders>
                  <w:noWrap w:val="0"/>
                  <w:vAlign w:val="center"/>
                </w:tcPr>
                <w:p w14:paraId="4C445F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448" w:type="pct"/>
                  <w:vMerge w:val="restart"/>
                  <w:tcBorders>
                    <w:tl2br w:val="nil"/>
                    <w:tr2bl w:val="nil"/>
                  </w:tcBorders>
                  <w:noWrap w:val="0"/>
                  <w:vAlign w:val="center"/>
                </w:tcPr>
                <w:p w14:paraId="0A3600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w:t>
                  </w:r>
                </w:p>
                <w:p w14:paraId="656199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对象</w:t>
                  </w:r>
                </w:p>
              </w:tc>
              <w:tc>
                <w:tcPr>
                  <w:tcW w:w="556" w:type="pct"/>
                  <w:vMerge w:val="restart"/>
                  <w:tcBorders>
                    <w:tl2br w:val="nil"/>
                    <w:tr2bl w:val="nil"/>
                  </w:tcBorders>
                  <w:noWrap w:val="0"/>
                  <w:vAlign w:val="center"/>
                </w:tcPr>
                <w:p w14:paraId="191210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600" w:type="pct"/>
                  <w:vMerge w:val="restart"/>
                  <w:tcBorders>
                    <w:tl2br w:val="nil"/>
                    <w:tr2bl w:val="nil"/>
                  </w:tcBorders>
                  <w:noWrap w:val="0"/>
                  <w:vAlign w:val="center"/>
                </w:tcPr>
                <w:p w14:paraId="387965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相对厂界距离/m</w:t>
                  </w:r>
                </w:p>
              </w:tc>
              <w:tc>
                <w:tcPr>
                  <w:tcW w:w="417" w:type="pct"/>
                  <w:vMerge w:val="restart"/>
                  <w:tcBorders>
                    <w:tl2br w:val="nil"/>
                    <w:tr2bl w:val="nil"/>
                  </w:tcBorders>
                  <w:noWrap w:val="0"/>
                  <w:vAlign w:val="center"/>
                </w:tcPr>
                <w:p w14:paraId="270CAF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备注</w:t>
                  </w:r>
                </w:p>
              </w:tc>
            </w:tr>
            <w:tr w14:paraId="2B0EE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0" w:type="pct"/>
                  <w:vMerge w:val="continue"/>
                  <w:tcBorders>
                    <w:tl2br w:val="nil"/>
                    <w:tr2bl w:val="nil"/>
                  </w:tcBorders>
                  <w:noWrap w:val="0"/>
                  <w:vAlign w:val="center"/>
                </w:tcPr>
                <w:p w14:paraId="034987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4" w:type="pct"/>
                  <w:vMerge w:val="continue"/>
                  <w:tcBorders>
                    <w:tl2br w:val="nil"/>
                    <w:tr2bl w:val="nil"/>
                  </w:tcBorders>
                  <w:noWrap w:val="0"/>
                  <w:vAlign w:val="center"/>
                </w:tcPr>
                <w:p w14:paraId="7C8A4F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960" w:type="pct"/>
                  <w:tcBorders>
                    <w:tl2br w:val="nil"/>
                    <w:tr2bl w:val="nil"/>
                  </w:tcBorders>
                  <w:noWrap w:val="0"/>
                  <w:vAlign w:val="center"/>
                </w:tcPr>
                <w:p w14:paraId="1E81CA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852" w:type="pct"/>
                  <w:tcBorders>
                    <w:tl2br w:val="nil"/>
                    <w:tr2bl w:val="nil"/>
                  </w:tcBorders>
                  <w:noWrap w:val="0"/>
                  <w:vAlign w:val="center"/>
                </w:tcPr>
                <w:p w14:paraId="3F5A67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448" w:type="pct"/>
                  <w:vMerge w:val="continue"/>
                  <w:tcBorders>
                    <w:tl2br w:val="nil"/>
                    <w:tr2bl w:val="nil"/>
                  </w:tcBorders>
                  <w:noWrap w:val="0"/>
                  <w:vAlign w:val="center"/>
                </w:tcPr>
                <w:p w14:paraId="08AE37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6" w:type="pct"/>
                  <w:vMerge w:val="continue"/>
                  <w:tcBorders>
                    <w:tl2br w:val="nil"/>
                    <w:tr2bl w:val="nil"/>
                  </w:tcBorders>
                  <w:noWrap w:val="0"/>
                  <w:vAlign w:val="center"/>
                </w:tcPr>
                <w:p w14:paraId="774F50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00" w:type="pct"/>
                  <w:vMerge w:val="continue"/>
                  <w:tcBorders>
                    <w:tl2br w:val="nil"/>
                    <w:tr2bl w:val="nil"/>
                  </w:tcBorders>
                  <w:noWrap w:val="0"/>
                  <w:vAlign w:val="center"/>
                </w:tcPr>
                <w:p w14:paraId="0D95F8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17" w:type="pct"/>
                  <w:vMerge w:val="continue"/>
                  <w:tcBorders>
                    <w:tl2br w:val="nil"/>
                    <w:tr2bl w:val="nil"/>
                  </w:tcBorders>
                  <w:noWrap w:val="0"/>
                  <w:vAlign w:val="center"/>
                </w:tcPr>
                <w:p w14:paraId="16CC41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21B66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370" w:type="pct"/>
                  <w:vMerge w:val="restart"/>
                  <w:tcBorders>
                    <w:tl2br w:val="nil"/>
                    <w:tr2bl w:val="nil"/>
                  </w:tcBorders>
                  <w:noWrap w:val="0"/>
                  <w:vAlign w:val="center"/>
                </w:tcPr>
                <w:p w14:paraId="3ABB6E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794" w:type="pct"/>
                  <w:tcBorders>
                    <w:tl2br w:val="nil"/>
                    <w:tr2bl w:val="nil"/>
                  </w:tcBorders>
                  <w:noWrap w:val="0"/>
                  <w:vAlign w:val="center"/>
                </w:tcPr>
                <w:p w14:paraId="3DFA10B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西联庄</w:t>
                  </w:r>
                </w:p>
              </w:tc>
              <w:tc>
                <w:tcPr>
                  <w:tcW w:w="960" w:type="pct"/>
                  <w:tcBorders>
                    <w:tl2br w:val="nil"/>
                    <w:tr2bl w:val="nil"/>
                  </w:tcBorders>
                  <w:noWrap w:val="0"/>
                  <w:vAlign w:val="center"/>
                </w:tcPr>
                <w:p w14:paraId="3E263A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108°40′50.27″</w:t>
                  </w:r>
                </w:p>
              </w:tc>
              <w:tc>
                <w:tcPr>
                  <w:tcW w:w="852" w:type="pct"/>
                  <w:tcBorders>
                    <w:tl2br w:val="nil"/>
                    <w:tr2bl w:val="nil"/>
                  </w:tcBorders>
                  <w:noWrap w:val="0"/>
                  <w:vAlign w:val="center"/>
                </w:tcPr>
                <w:p w14:paraId="07BDD586">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34°13′31.75″</w:t>
                  </w:r>
                </w:p>
              </w:tc>
              <w:tc>
                <w:tcPr>
                  <w:tcW w:w="448" w:type="pct"/>
                  <w:tcBorders>
                    <w:tl2br w:val="nil"/>
                    <w:tr2bl w:val="nil"/>
                  </w:tcBorders>
                  <w:noWrap w:val="0"/>
                  <w:vAlign w:val="center"/>
                </w:tcPr>
                <w:p w14:paraId="2875B49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居民</w:t>
                  </w:r>
                </w:p>
              </w:tc>
              <w:tc>
                <w:tcPr>
                  <w:tcW w:w="556" w:type="pct"/>
                  <w:tcBorders>
                    <w:tl2br w:val="nil"/>
                    <w:tr2bl w:val="nil"/>
                  </w:tcBorders>
                  <w:noWrap w:val="0"/>
                  <w:vAlign w:val="center"/>
                </w:tcPr>
                <w:p w14:paraId="41EB5F2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西</w:t>
                  </w:r>
                </w:p>
              </w:tc>
              <w:tc>
                <w:tcPr>
                  <w:tcW w:w="600" w:type="pct"/>
                  <w:tcBorders>
                    <w:tl2br w:val="nil"/>
                    <w:tr2bl w:val="nil"/>
                  </w:tcBorders>
                  <w:noWrap w:val="0"/>
                  <w:vAlign w:val="center"/>
                </w:tcPr>
                <w:p w14:paraId="1D7B86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50</w:t>
                  </w:r>
                </w:p>
              </w:tc>
              <w:tc>
                <w:tcPr>
                  <w:tcW w:w="417" w:type="pct"/>
                  <w:tcBorders>
                    <w:tl2br w:val="nil"/>
                    <w:tr2bl w:val="nil"/>
                  </w:tcBorders>
                  <w:noWrap w:val="0"/>
                  <w:vAlign w:val="center"/>
                </w:tcPr>
                <w:p w14:paraId="3CFA36C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cs="Times New Roman"/>
                      <w:color w:val="auto"/>
                      <w:spacing w:val="5"/>
                      <w:sz w:val="21"/>
                      <w:szCs w:val="21"/>
                      <w:highlight w:val="none"/>
                      <w:lang w:val="en-US" w:eastAsia="zh-CN"/>
                    </w:rPr>
                    <w:t>/</w:t>
                  </w:r>
                </w:p>
              </w:tc>
            </w:tr>
            <w:tr w14:paraId="53399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0" w:type="pct"/>
                  <w:vMerge w:val="continue"/>
                  <w:tcBorders>
                    <w:tl2br w:val="nil"/>
                    <w:tr2bl w:val="nil"/>
                  </w:tcBorders>
                  <w:noWrap w:val="0"/>
                  <w:vAlign w:val="center"/>
                </w:tcPr>
                <w:p w14:paraId="14B6D2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4" w:type="pct"/>
                  <w:tcBorders>
                    <w:tl2br w:val="nil"/>
                    <w:tr2bl w:val="nil"/>
                  </w:tcBorders>
                  <w:noWrap w:val="0"/>
                  <w:vAlign w:val="center"/>
                </w:tcPr>
                <w:p w14:paraId="0FA2AF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东联庄</w:t>
                  </w:r>
                </w:p>
              </w:tc>
              <w:tc>
                <w:tcPr>
                  <w:tcW w:w="960" w:type="pct"/>
                  <w:tcBorders>
                    <w:tl2br w:val="nil"/>
                    <w:tr2bl w:val="nil"/>
                  </w:tcBorders>
                  <w:noWrap w:val="0"/>
                  <w:vAlign w:val="center"/>
                </w:tcPr>
                <w:p w14:paraId="4CC516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108°41′ .92″</w:t>
                  </w:r>
                </w:p>
              </w:tc>
              <w:tc>
                <w:tcPr>
                  <w:tcW w:w="852" w:type="pct"/>
                  <w:tcBorders>
                    <w:tl2br w:val="nil"/>
                    <w:tr2bl w:val="nil"/>
                  </w:tcBorders>
                  <w:noWrap w:val="0"/>
                  <w:vAlign w:val="center"/>
                </w:tcPr>
                <w:p w14:paraId="1A08CD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34°13′28.65″</w:t>
                  </w:r>
                </w:p>
              </w:tc>
              <w:tc>
                <w:tcPr>
                  <w:tcW w:w="448" w:type="pct"/>
                  <w:tcBorders>
                    <w:tl2br w:val="nil"/>
                    <w:tr2bl w:val="nil"/>
                  </w:tcBorders>
                  <w:noWrap w:val="0"/>
                  <w:vAlign w:val="center"/>
                </w:tcPr>
                <w:p w14:paraId="68C57C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居民</w:t>
                  </w:r>
                </w:p>
              </w:tc>
              <w:tc>
                <w:tcPr>
                  <w:tcW w:w="556" w:type="pct"/>
                  <w:tcBorders>
                    <w:tl2br w:val="nil"/>
                    <w:tr2bl w:val="nil"/>
                  </w:tcBorders>
                  <w:noWrap w:val="0"/>
                  <w:vAlign w:val="center"/>
                </w:tcPr>
                <w:p w14:paraId="5A4A6C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南</w:t>
                  </w:r>
                </w:p>
              </w:tc>
              <w:tc>
                <w:tcPr>
                  <w:tcW w:w="600" w:type="pct"/>
                  <w:tcBorders>
                    <w:tl2br w:val="nil"/>
                    <w:tr2bl w:val="nil"/>
                  </w:tcBorders>
                  <w:noWrap w:val="0"/>
                  <w:vAlign w:val="center"/>
                </w:tcPr>
                <w:p w14:paraId="74BEF6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52</w:t>
                  </w:r>
                </w:p>
              </w:tc>
              <w:tc>
                <w:tcPr>
                  <w:tcW w:w="417" w:type="pct"/>
                  <w:tcBorders>
                    <w:tl2br w:val="nil"/>
                    <w:tr2bl w:val="nil"/>
                  </w:tcBorders>
                  <w:noWrap w:val="0"/>
                  <w:vAlign w:val="center"/>
                </w:tcPr>
                <w:p w14:paraId="5C734A1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cs="Times New Roman"/>
                      <w:color w:val="auto"/>
                      <w:spacing w:val="5"/>
                      <w:sz w:val="21"/>
                      <w:szCs w:val="21"/>
                      <w:highlight w:val="none"/>
                      <w:lang w:val="en-US" w:eastAsia="zh-CN"/>
                    </w:rPr>
                    <w:t>/</w:t>
                  </w:r>
                </w:p>
              </w:tc>
            </w:tr>
            <w:tr w14:paraId="33D77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0" w:type="pct"/>
                  <w:vMerge w:val="continue"/>
                  <w:tcBorders>
                    <w:tl2br w:val="nil"/>
                    <w:tr2bl w:val="nil"/>
                  </w:tcBorders>
                  <w:noWrap w:val="0"/>
                  <w:vAlign w:val="center"/>
                </w:tcPr>
                <w:p w14:paraId="13D199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4" w:type="pct"/>
                  <w:tcBorders>
                    <w:tl2br w:val="nil"/>
                    <w:tr2bl w:val="nil"/>
                  </w:tcBorders>
                  <w:noWrap w:val="0"/>
                  <w:vAlign w:val="center"/>
                </w:tcPr>
                <w:p w14:paraId="220A3DF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联沣和园</w:t>
                  </w:r>
                </w:p>
              </w:tc>
              <w:tc>
                <w:tcPr>
                  <w:tcW w:w="960" w:type="pct"/>
                  <w:tcBorders>
                    <w:tl2br w:val="nil"/>
                    <w:tr2bl w:val="nil"/>
                  </w:tcBorders>
                  <w:noWrap w:val="0"/>
                  <w:vAlign w:val="center"/>
                </w:tcPr>
                <w:p w14:paraId="1200C08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108°40′57.84″</w:t>
                  </w:r>
                </w:p>
              </w:tc>
              <w:tc>
                <w:tcPr>
                  <w:tcW w:w="852" w:type="pct"/>
                  <w:tcBorders>
                    <w:tl2br w:val="nil"/>
                    <w:tr2bl w:val="nil"/>
                  </w:tcBorders>
                  <w:noWrap w:val="0"/>
                  <w:vAlign w:val="center"/>
                </w:tcPr>
                <w:p w14:paraId="3063164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34°13′45.69″</w:t>
                  </w:r>
                </w:p>
              </w:tc>
              <w:tc>
                <w:tcPr>
                  <w:tcW w:w="448" w:type="pct"/>
                  <w:tcBorders>
                    <w:tl2br w:val="nil"/>
                    <w:tr2bl w:val="nil"/>
                  </w:tcBorders>
                  <w:noWrap w:val="0"/>
                  <w:vAlign w:val="center"/>
                </w:tcPr>
                <w:p w14:paraId="2BC60B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居民</w:t>
                  </w:r>
                </w:p>
              </w:tc>
              <w:tc>
                <w:tcPr>
                  <w:tcW w:w="556" w:type="pct"/>
                  <w:tcBorders>
                    <w:tl2br w:val="nil"/>
                    <w:tr2bl w:val="nil"/>
                  </w:tcBorders>
                  <w:noWrap w:val="0"/>
                  <w:vAlign w:val="center"/>
                </w:tcPr>
                <w:p w14:paraId="07BDDF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北</w:t>
                  </w:r>
                </w:p>
              </w:tc>
              <w:tc>
                <w:tcPr>
                  <w:tcW w:w="600" w:type="pct"/>
                  <w:tcBorders>
                    <w:tl2br w:val="nil"/>
                    <w:tr2bl w:val="nil"/>
                  </w:tcBorders>
                  <w:noWrap w:val="0"/>
                  <w:vAlign w:val="center"/>
                </w:tcPr>
                <w:p w14:paraId="258200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320</w:t>
                  </w:r>
                </w:p>
              </w:tc>
              <w:tc>
                <w:tcPr>
                  <w:tcW w:w="417" w:type="pct"/>
                  <w:tcBorders>
                    <w:tl2br w:val="nil"/>
                    <w:tr2bl w:val="nil"/>
                  </w:tcBorders>
                  <w:noWrap w:val="0"/>
                  <w:vAlign w:val="center"/>
                </w:tcPr>
                <w:p w14:paraId="41CBCE9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cs="Times New Roman"/>
                      <w:color w:val="auto"/>
                      <w:spacing w:val="5"/>
                      <w:sz w:val="21"/>
                      <w:szCs w:val="21"/>
                      <w:highlight w:val="none"/>
                      <w:lang w:val="en-US" w:eastAsia="zh-CN"/>
                    </w:rPr>
                    <w:t>/</w:t>
                  </w:r>
                </w:p>
              </w:tc>
            </w:tr>
            <w:tr w14:paraId="22AC9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0" w:type="pct"/>
                  <w:vMerge w:val="continue"/>
                  <w:tcBorders>
                    <w:tl2br w:val="nil"/>
                    <w:tr2bl w:val="nil"/>
                  </w:tcBorders>
                  <w:noWrap w:val="0"/>
                  <w:vAlign w:val="center"/>
                </w:tcPr>
                <w:p w14:paraId="7DE685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4" w:type="pct"/>
                  <w:tcBorders>
                    <w:tl2br w:val="nil"/>
                    <w:tr2bl w:val="nil"/>
                  </w:tcBorders>
                  <w:noWrap w:val="0"/>
                  <w:vAlign w:val="center"/>
                </w:tcPr>
                <w:p w14:paraId="48B6E00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西咸新区联沣幼儿园</w:t>
                  </w:r>
                </w:p>
              </w:tc>
              <w:tc>
                <w:tcPr>
                  <w:tcW w:w="960" w:type="pct"/>
                  <w:tcBorders>
                    <w:tl2br w:val="nil"/>
                    <w:tr2bl w:val="nil"/>
                  </w:tcBorders>
                  <w:noWrap w:val="0"/>
                  <w:vAlign w:val="center"/>
                </w:tcPr>
                <w:p w14:paraId="2DCE68D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108°41′4.27″</w:t>
                  </w:r>
                </w:p>
              </w:tc>
              <w:tc>
                <w:tcPr>
                  <w:tcW w:w="852" w:type="pct"/>
                  <w:tcBorders>
                    <w:tl2br w:val="nil"/>
                    <w:tr2bl w:val="nil"/>
                  </w:tcBorders>
                  <w:noWrap w:val="0"/>
                  <w:vAlign w:val="center"/>
                </w:tcPr>
                <w:p w14:paraId="364254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34°13′51.89″</w:t>
                  </w:r>
                </w:p>
              </w:tc>
              <w:tc>
                <w:tcPr>
                  <w:tcW w:w="448" w:type="pct"/>
                  <w:tcBorders>
                    <w:tl2br w:val="nil"/>
                    <w:tr2bl w:val="nil"/>
                  </w:tcBorders>
                  <w:noWrap w:val="0"/>
                  <w:vAlign w:val="center"/>
                </w:tcPr>
                <w:p w14:paraId="2DA802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师生</w:t>
                  </w:r>
                </w:p>
              </w:tc>
              <w:tc>
                <w:tcPr>
                  <w:tcW w:w="556" w:type="pct"/>
                  <w:tcBorders>
                    <w:tl2br w:val="nil"/>
                    <w:tr2bl w:val="nil"/>
                  </w:tcBorders>
                  <w:noWrap w:val="0"/>
                  <w:vAlign w:val="center"/>
                </w:tcPr>
                <w:p w14:paraId="24354F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北</w:t>
                  </w:r>
                </w:p>
              </w:tc>
              <w:tc>
                <w:tcPr>
                  <w:tcW w:w="600" w:type="pct"/>
                  <w:tcBorders>
                    <w:tl2br w:val="nil"/>
                    <w:tr2bl w:val="nil"/>
                  </w:tcBorders>
                  <w:noWrap w:val="0"/>
                  <w:vAlign w:val="center"/>
                </w:tcPr>
                <w:p w14:paraId="6889CE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480</w:t>
                  </w:r>
                </w:p>
              </w:tc>
              <w:tc>
                <w:tcPr>
                  <w:tcW w:w="417" w:type="pct"/>
                  <w:tcBorders>
                    <w:tl2br w:val="nil"/>
                    <w:tr2bl w:val="nil"/>
                  </w:tcBorders>
                  <w:noWrap w:val="0"/>
                  <w:vAlign w:val="center"/>
                </w:tcPr>
                <w:p w14:paraId="22DB21B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cs="Times New Roman"/>
                      <w:color w:val="auto"/>
                      <w:spacing w:val="5"/>
                      <w:sz w:val="21"/>
                      <w:szCs w:val="21"/>
                      <w:highlight w:val="none"/>
                      <w:lang w:val="en-US" w:eastAsia="zh-CN"/>
                    </w:rPr>
                    <w:t>/</w:t>
                  </w:r>
                </w:p>
              </w:tc>
            </w:tr>
            <w:tr w14:paraId="58371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0" w:type="pct"/>
                  <w:tcBorders>
                    <w:tl2br w:val="nil"/>
                    <w:tr2bl w:val="nil"/>
                  </w:tcBorders>
                  <w:noWrap w:val="0"/>
                  <w:vAlign w:val="center"/>
                </w:tcPr>
                <w:p w14:paraId="0C1C28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声环境</w:t>
                  </w:r>
                </w:p>
              </w:tc>
              <w:tc>
                <w:tcPr>
                  <w:tcW w:w="794" w:type="pct"/>
                  <w:tcBorders>
                    <w:tl2br w:val="nil"/>
                    <w:tr2bl w:val="nil"/>
                  </w:tcBorders>
                  <w:noWrap w:val="0"/>
                  <w:vAlign w:val="center"/>
                </w:tcPr>
                <w:p w14:paraId="766379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西联庄</w:t>
                  </w:r>
                </w:p>
              </w:tc>
              <w:tc>
                <w:tcPr>
                  <w:tcW w:w="960" w:type="pct"/>
                  <w:tcBorders>
                    <w:tl2br w:val="nil"/>
                    <w:tr2bl w:val="nil"/>
                  </w:tcBorders>
                  <w:noWrap w:val="0"/>
                  <w:vAlign w:val="center"/>
                </w:tcPr>
                <w:p w14:paraId="2BA0969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108°40′50.27″</w:t>
                  </w:r>
                </w:p>
              </w:tc>
              <w:tc>
                <w:tcPr>
                  <w:tcW w:w="852" w:type="pct"/>
                  <w:tcBorders>
                    <w:tl2br w:val="nil"/>
                    <w:tr2bl w:val="nil"/>
                  </w:tcBorders>
                  <w:noWrap w:val="0"/>
                  <w:vAlign w:val="center"/>
                </w:tcPr>
                <w:p w14:paraId="033D39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34°13′31.75″</w:t>
                  </w:r>
                </w:p>
              </w:tc>
              <w:tc>
                <w:tcPr>
                  <w:tcW w:w="448" w:type="pct"/>
                  <w:tcBorders>
                    <w:tl2br w:val="nil"/>
                    <w:tr2bl w:val="nil"/>
                  </w:tcBorders>
                  <w:noWrap w:val="0"/>
                  <w:vAlign w:val="center"/>
                </w:tcPr>
                <w:p w14:paraId="29A353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居民</w:t>
                  </w:r>
                </w:p>
              </w:tc>
              <w:tc>
                <w:tcPr>
                  <w:tcW w:w="556" w:type="pct"/>
                  <w:tcBorders>
                    <w:tl2br w:val="nil"/>
                    <w:tr2bl w:val="nil"/>
                  </w:tcBorders>
                  <w:noWrap w:val="0"/>
                  <w:vAlign w:val="center"/>
                </w:tcPr>
                <w:p w14:paraId="4146EA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西</w:t>
                  </w:r>
                </w:p>
              </w:tc>
              <w:tc>
                <w:tcPr>
                  <w:tcW w:w="600" w:type="pct"/>
                  <w:tcBorders>
                    <w:tl2br w:val="nil"/>
                    <w:tr2bl w:val="nil"/>
                  </w:tcBorders>
                  <w:noWrap w:val="0"/>
                  <w:vAlign w:val="center"/>
                </w:tcPr>
                <w:p w14:paraId="2ACA68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50</w:t>
                  </w:r>
                </w:p>
              </w:tc>
              <w:tc>
                <w:tcPr>
                  <w:tcW w:w="417" w:type="pct"/>
                  <w:tcBorders>
                    <w:tl2br w:val="nil"/>
                    <w:tr2bl w:val="nil"/>
                  </w:tcBorders>
                  <w:noWrap w:val="0"/>
                  <w:vAlign w:val="center"/>
                </w:tcPr>
                <w:p w14:paraId="7C4C73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5"/>
                      <w:sz w:val="21"/>
                      <w:szCs w:val="21"/>
                      <w:highlight w:val="none"/>
                      <w:lang w:val="en-US" w:eastAsia="zh-CN"/>
                    </w:rPr>
                  </w:pPr>
                  <w:r>
                    <w:rPr>
                      <w:rFonts w:hint="eastAsia" w:ascii="Times New Roman" w:hAnsi="Times New Roman" w:cs="Times New Roman"/>
                      <w:color w:val="auto"/>
                      <w:spacing w:val="5"/>
                      <w:sz w:val="21"/>
                      <w:szCs w:val="21"/>
                      <w:highlight w:val="none"/>
                      <w:lang w:val="en-US" w:eastAsia="zh-CN"/>
                    </w:rPr>
                    <w:t>320人</w:t>
                  </w:r>
                </w:p>
              </w:tc>
            </w:tr>
          </w:tbl>
          <w:p w14:paraId="4CEC779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left"/>
              <w:textAlignment w:val="auto"/>
              <w:rPr>
                <w:rFonts w:hint="default" w:ascii="Times New Roman" w:hAnsi="Times New Roman" w:eastAsia="宋体" w:cs="Times New Roman"/>
                <w:color w:val="auto"/>
                <w:kern w:val="0"/>
                <w:sz w:val="24"/>
                <w:szCs w:val="24"/>
                <w:highlight w:val="none"/>
                <w:lang w:val="en-US" w:eastAsia="zh-CN"/>
              </w:rPr>
            </w:pPr>
          </w:p>
        </w:tc>
      </w:tr>
      <w:tr w14:paraId="00A32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533" w:type="dxa"/>
            <w:noWrap w:val="0"/>
            <w:tcMar>
              <w:left w:w="28" w:type="dxa"/>
              <w:right w:w="28" w:type="dxa"/>
            </w:tcMar>
            <w:vAlign w:val="center"/>
          </w:tcPr>
          <w:p w14:paraId="22344D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14:paraId="0CB95B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14:paraId="24A88A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14:paraId="762C65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14:paraId="7978F3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528" w:type="dxa"/>
            <w:noWrap w:val="0"/>
            <w:vAlign w:val="center"/>
          </w:tcPr>
          <w:p w14:paraId="63E9C50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1、施工期扬尘执行《施工场界扬尘排放限值》（DB61/1078-2017）标准限值</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运营期</w:t>
            </w:r>
            <w:r>
              <w:rPr>
                <w:rFonts w:hint="eastAsia" w:ascii="Times New Roman" w:hAnsi="Times New Roman" w:eastAsia="宋体" w:cs="Times New Roman"/>
                <w:color w:val="auto"/>
                <w:kern w:val="2"/>
                <w:sz w:val="24"/>
                <w:szCs w:val="24"/>
                <w:highlight w:val="none"/>
                <w:lang w:val="en-US" w:eastAsia="zh-CN" w:bidi="ar-SA"/>
              </w:rPr>
              <w:t>无组织颗粒物</w:t>
            </w:r>
            <w:r>
              <w:rPr>
                <w:rFonts w:hint="default" w:ascii="Times New Roman" w:hAnsi="Times New Roman" w:eastAsia="宋体" w:cs="Times New Roman"/>
                <w:color w:val="auto"/>
                <w:kern w:val="2"/>
                <w:sz w:val="24"/>
                <w:szCs w:val="24"/>
                <w:highlight w:val="none"/>
                <w:lang w:val="en-US" w:eastAsia="zh-CN" w:bidi="ar-SA"/>
              </w:rPr>
              <w:t>排放执行《大气污染物综合排放标准》（GB16297-1996）表2中无组织排放监控浓度限值</w:t>
            </w:r>
            <w:r>
              <w:rPr>
                <w:rFonts w:hint="eastAsia" w:cs="Times New Roman"/>
                <w:color w:val="auto"/>
                <w:kern w:val="2"/>
                <w:sz w:val="24"/>
                <w:szCs w:val="24"/>
                <w:highlight w:val="none"/>
                <w:lang w:val="en-US" w:eastAsia="zh-CN" w:bidi="ar-SA"/>
              </w:rPr>
              <w:t>；氯化氢、硫酸雾、氟化物、氮氧化物及非甲烷总烃排放执行</w:t>
            </w:r>
            <w:r>
              <w:rPr>
                <w:rFonts w:hint="default" w:ascii="Times New Roman" w:hAnsi="Times New Roman" w:eastAsia="宋体" w:cs="Times New Roman"/>
                <w:caps w:val="0"/>
                <w:smallCaps w:val="0"/>
                <w:color w:val="auto"/>
                <w:sz w:val="24"/>
                <w:szCs w:val="24"/>
                <w:highlight w:val="none"/>
                <w:lang w:val="en-US" w:eastAsia="zh-CN"/>
              </w:rPr>
              <w:t>《大气污染物综合排放标准》（GB16297-1996）</w:t>
            </w:r>
            <w:r>
              <w:rPr>
                <w:rFonts w:hint="eastAsia"/>
                <w:snapToGrid/>
                <w:color w:val="auto"/>
                <w:kern w:val="2"/>
                <w:highlight w:val="none"/>
                <w:lang w:val="en-US" w:eastAsia="zh-CN"/>
              </w:rPr>
              <w:t>表2中</w:t>
            </w:r>
            <w:r>
              <w:rPr>
                <w:rFonts w:hint="eastAsia"/>
                <w:snapToGrid/>
                <w:color w:val="auto"/>
                <w:kern w:val="2"/>
                <w:highlight w:val="none"/>
              </w:rPr>
              <w:t>二级排放标准限值</w:t>
            </w:r>
            <w:r>
              <w:rPr>
                <w:rFonts w:hint="eastAsia"/>
                <w:snapToGrid/>
                <w:color w:val="auto"/>
                <w:kern w:val="2"/>
                <w:highlight w:val="none"/>
                <w:lang w:val="en-US" w:eastAsia="zh-CN"/>
              </w:rPr>
              <w:t>及无组织排放监控浓度限值；</w:t>
            </w:r>
            <w:r>
              <w:rPr>
                <w:rFonts w:hint="default" w:ascii="Times New Roman" w:hAnsi="Times New Roman" w:eastAsia="宋体" w:cs="Times New Roman"/>
                <w:b w:val="0"/>
                <w:bCs w:val="0"/>
                <w:color w:val="auto"/>
                <w:spacing w:val="0"/>
                <w:kern w:val="2"/>
                <w:sz w:val="24"/>
                <w:szCs w:val="24"/>
                <w:highlight w:val="none"/>
                <w:lang w:val="en-US" w:eastAsia="zh-CN"/>
              </w:rPr>
              <w:t>非甲烷总烃厂区内执行《挥发性有机物无组织排放控制标准》（GB 37822-2019）表A.1厂区内无组织特别排放限值</w:t>
            </w:r>
            <w:r>
              <w:rPr>
                <w:rFonts w:hint="eastAsia" w:cs="Times New Roman"/>
                <w:b w:val="0"/>
                <w:bCs w:val="0"/>
                <w:color w:val="auto"/>
                <w:spacing w:val="0"/>
                <w:kern w:val="2"/>
                <w:sz w:val="24"/>
                <w:szCs w:val="24"/>
                <w:highlight w:val="none"/>
                <w:lang w:val="en-US" w:eastAsia="zh-CN"/>
              </w:rPr>
              <w:t>。</w:t>
            </w:r>
          </w:p>
          <w:p w14:paraId="61D653E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pacing w:val="0"/>
                <w:kern w:val="2"/>
                <w:sz w:val="21"/>
                <w:szCs w:val="21"/>
                <w:highlight w:val="none"/>
                <w:lang w:val="en-US" w:eastAsia="zh-CN"/>
              </w:rPr>
            </w:pPr>
            <w:r>
              <w:rPr>
                <w:rFonts w:hint="default" w:ascii="Times New Roman" w:hAnsi="Times New Roman" w:eastAsia="宋体" w:cs="Times New Roman"/>
                <w:b/>
                <w:bCs/>
                <w:color w:val="auto"/>
                <w:spacing w:val="0"/>
                <w:kern w:val="2"/>
                <w:sz w:val="21"/>
                <w:szCs w:val="21"/>
                <w:highlight w:val="none"/>
                <w:lang w:val="en-US" w:eastAsia="zh-CN"/>
              </w:rPr>
              <w:t>表3-</w:t>
            </w:r>
            <w:r>
              <w:rPr>
                <w:rFonts w:hint="eastAsia" w:cs="Times New Roman"/>
                <w:b/>
                <w:bCs/>
                <w:color w:val="auto"/>
                <w:spacing w:val="0"/>
                <w:kern w:val="2"/>
                <w:sz w:val="21"/>
                <w:szCs w:val="21"/>
                <w:highlight w:val="none"/>
                <w:lang w:val="en-US" w:eastAsia="zh-CN"/>
              </w:rPr>
              <w:t>5</w:t>
            </w:r>
            <w:r>
              <w:rPr>
                <w:rFonts w:hint="default" w:ascii="Times New Roman" w:hAnsi="Times New Roman" w:eastAsia="宋体" w:cs="Times New Roman"/>
                <w:b/>
                <w:bCs/>
                <w:color w:val="auto"/>
                <w:spacing w:val="0"/>
                <w:kern w:val="2"/>
                <w:sz w:val="21"/>
                <w:szCs w:val="21"/>
                <w:highlight w:val="none"/>
                <w:lang w:val="en-US" w:eastAsia="zh-CN"/>
              </w:rPr>
              <w:t xml:space="preserve"> 排放标准限值一览表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136"/>
              <w:gridCol w:w="1855"/>
              <w:gridCol w:w="1267"/>
              <w:gridCol w:w="3143"/>
            </w:tblGrid>
            <w:tr w14:paraId="314BA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6" w:type="pct"/>
                  <w:gridSpan w:val="3"/>
                  <w:tcBorders>
                    <w:tl2br w:val="nil"/>
                    <w:tr2bl w:val="nil"/>
                  </w:tcBorders>
                  <w:noWrap w:val="0"/>
                  <w:vAlign w:val="center"/>
                </w:tcPr>
                <w:p w14:paraId="555CD0BF">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765" w:type="pct"/>
                  <w:tcBorders>
                    <w:tl2br w:val="nil"/>
                    <w:tr2bl w:val="nil"/>
                  </w:tcBorders>
                  <w:noWrap w:val="0"/>
                  <w:vAlign w:val="center"/>
                </w:tcPr>
                <w:p w14:paraId="132A197E">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最高允许排放浓度（mg/m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1898" w:type="pct"/>
                  <w:tcBorders>
                    <w:tl2br w:val="nil"/>
                    <w:tr2bl w:val="nil"/>
                  </w:tcBorders>
                  <w:noWrap w:val="0"/>
                  <w:vAlign w:val="center"/>
                </w:tcPr>
                <w:p w14:paraId="69465C23">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w:t>
                  </w:r>
                </w:p>
              </w:tc>
            </w:tr>
            <w:tr w14:paraId="6C94F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restart"/>
                  <w:tcBorders>
                    <w:tl2br w:val="nil"/>
                    <w:tr2bl w:val="nil"/>
                  </w:tcBorders>
                  <w:noWrap w:val="0"/>
                  <w:vAlign w:val="center"/>
                </w:tcPr>
                <w:p w14:paraId="061084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施工期</w:t>
                  </w:r>
                </w:p>
              </w:tc>
              <w:tc>
                <w:tcPr>
                  <w:tcW w:w="686" w:type="pct"/>
                  <w:vMerge w:val="restart"/>
                  <w:tcBorders>
                    <w:tl2br w:val="nil"/>
                    <w:tr2bl w:val="nil"/>
                  </w:tcBorders>
                  <w:noWrap w:val="0"/>
                  <w:vAlign w:val="center"/>
                </w:tcPr>
                <w:p w14:paraId="61E12F24">
                  <w:pPr>
                    <w:keepNext w:val="0"/>
                    <w:keepLines w:val="0"/>
                    <w:suppressLineNumbers w:val="0"/>
                    <w:spacing w:before="0" w:beforeAutospacing="0" w:after="0" w:afterAutospacing="0"/>
                    <w:ind w:left="0" w:leftChars="0" w:right="0" w:rightChars="0"/>
                    <w:contextualSpacing/>
                    <w:jc w:val="both"/>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施工扬尘</w:t>
                  </w:r>
                </w:p>
              </w:tc>
              <w:tc>
                <w:tcPr>
                  <w:tcW w:w="1120" w:type="pct"/>
                  <w:tcBorders>
                    <w:tl2br w:val="nil"/>
                    <w:tr2bl w:val="nil"/>
                  </w:tcBorders>
                  <w:noWrap w:val="0"/>
                  <w:vAlign w:val="center"/>
                </w:tcPr>
                <w:p w14:paraId="1B21A2D9">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拆除、土方及地基处理工程TSP</w:t>
                  </w:r>
                </w:p>
              </w:tc>
              <w:tc>
                <w:tcPr>
                  <w:tcW w:w="765" w:type="pct"/>
                  <w:tcBorders>
                    <w:tl2br w:val="nil"/>
                    <w:tr2bl w:val="nil"/>
                  </w:tcBorders>
                  <w:noWrap w:val="0"/>
                  <w:vAlign w:val="center"/>
                </w:tcPr>
                <w:p w14:paraId="2DE69EC6">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rPr>
                    <w:t>≤0.8</w:t>
                  </w:r>
                </w:p>
              </w:tc>
              <w:tc>
                <w:tcPr>
                  <w:tcW w:w="1898" w:type="pct"/>
                  <w:vMerge w:val="restart"/>
                  <w:tcBorders>
                    <w:tl2br w:val="nil"/>
                    <w:tr2bl w:val="nil"/>
                  </w:tcBorders>
                  <w:noWrap w:val="0"/>
                  <w:vAlign w:val="center"/>
                </w:tcPr>
                <w:p w14:paraId="6DBFBA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《施工场界扬尘排放限值》（DB61/1078-2017）</w:t>
                  </w:r>
                </w:p>
              </w:tc>
            </w:tr>
            <w:tr w14:paraId="091B6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05D414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continue"/>
                  <w:tcBorders>
                    <w:tl2br w:val="nil"/>
                    <w:tr2bl w:val="nil"/>
                  </w:tcBorders>
                  <w:noWrap w:val="0"/>
                  <w:vAlign w:val="center"/>
                </w:tcPr>
                <w:p w14:paraId="1778D456">
                  <w:pPr>
                    <w:keepNext w:val="0"/>
                    <w:keepLines w:val="0"/>
                    <w:suppressLineNumbers w:val="0"/>
                    <w:spacing w:before="0" w:beforeAutospacing="0" w:after="0" w:afterAutospacing="0"/>
                    <w:ind w:left="0" w:leftChars="0" w:right="0" w:rightChars="0"/>
                    <w:contextualSpacing/>
                    <w:jc w:val="both"/>
                    <w:rPr>
                      <w:rFonts w:hint="default" w:ascii="Times New Roman" w:hAnsi="Times New Roman" w:eastAsia="宋体" w:cs="Times New Roman"/>
                      <w:caps w:val="0"/>
                      <w:smallCaps w:val="0"/>
                      <w:color w:val="auto"/>
                      <w:sz w:val="21"/>
                      <w:szCs w:val="21"/>
                      <w:highlight w:val="none"/>
                      <w:lang w:val="en-US" w:eastAsia="zh-CN"/>
                    </w:rPr>
                  </w:pPr>
                </w:p>
              </w:tc>
              <w:tc>
                <w:tcPr>
                  <w:tcW w:w="1120" w:type="pct"/>
                  <w:tcBorders>
                    <w:tl2br w:val="nil"/>
                    <w:tr2bl w:val="nil"/>
                  </w:tcBorders>
                  <w:noWrap w:val="0"/>
                  <w:vAlign w:val="center"/>
                </w:tcPr>
                <w:p w14:paraId="00197CD3">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基础、主体结构及装饰工程TSP</w:t>
                  </w:r>
                </w:p>
              </w:tc>
              <w:tc>
                <w:tcPr>
                  <w:tcW w:w="765" w:type="pct"/>
                  <w:tcBorders>
                    <w:tl2br w:val="nil"/>
                    <w:tr2bl w:val="nil"/>
                  </w:tcBorders>
                  <w:noWrap w:val="0"/>
                  <w:vAlign w:val="center"/>
                </w:tcPr>
                <w:p w14:paraId="6120F98A">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rPr>
                    <w:t>≤0.7</w:t>
                  </w:r>
                </w:p>
              </w:tc>
              <w:tc>
                <w:tcPr>
                  <w:tcW w:w="1898" w:type="pct"/>
                  <w:vMerge w:val="continue"/>
                  <w:tcBorders>
                    <w:tl2br w:val="nil"/>
                    <w:tr2bl w:val="nil"/>
                  </w:tcBorders>
                  <w:noWrap w:val="0"/>
                  <w:vAlign w:val="center"/>
                </w:tcPr>
                <w:p w14:paraId="23F0B7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7BE6F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restart"/>
                  <w:tcBorders>
                    <w:tl2br w:val="nil"/>
                    <w:tr2bl w:val="nil"/>
                  </w:tcBorders>
                  <w:noWrap w:val="0"/>
                  <w:vAlign w:val="center"/>
                </w:tcPr>
                <w:p w14:paraId="161672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运营期</w:t>
                  </w:r>
                </w:p>
              </w:tc>
              <w:tc>
                <w:tcPr>
                  <w:tcW w:w="686" w:type="pct"/>
                  <w:tcBorders>
                    <w:tl2br w:val="nil"/>
                    <w:tr2bl w:val="nil"/>
                  </w:tcBorders>
                  <w:noWrap w:val="0"/>
                  <w:vAlign w:val="center"/>
                </w:tcPr>
                <w:p w14:paraId="58D7D7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颗粒物</w:t>
                  </w:r>
                </w:p>
              </w:tc>
              <w:tc>
                <w:tcPr>
                  <w:tcW w:w="1120" w:type="pct"/>
                  <w:tcBorders>
                    <w:tl2br w:val="nil"/>
                    <w:tr2bl w:val="nil"/>
                  </w:tcBorders>
                  <w:shd w:val="clear" w:color="auto" w:fill="auto"/>
                  <w:noWrap w:val="0"/>
                  <w:vAlign w:val="center"/>
                </w:tcPr>
                <w:p w14:paraId="6C1345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无组织</w:t>
                  </w:r>
                </w:p>
              </w:tc>
              <w:tc>
                <w:tcPr>
                  <w:tcW w:w="765" w:type="pct"/>
                  <w:tcBorders>
                    <w:tl2br w:val="nil"/>
                    <w:tr2bl w:val="nil"/>
                  </w:tcBorders>
                  <w:shd w:val="clear" w:color="auto" w:fill="auto"/>
                  <w:noWrap w:val="0"/>
                  <w:vAlign w:val="center"/>
                </w:tcPr>
                <w:p w14:paraId="7A134AB7">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898" w:type="pct"/>
                  <w:tcBorders>
                    <w:tl2br w:val="nil"/>
                    <w:tr2bl w:val="nil"/>
                  </w:tcBorders>
                  <w:noWrap w:val="0"/>
                  <w:vAlign w:val="center"/>
                </w:tcPr>
                <w:p w14:paraId="42A72B5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《大气污染物综合排放标准》（GB16297-1996）</w:t>
                  </w:r>
                </w:p>
              </w:tc>
            </w:tr>
            <w:tr w14:paraId="54868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1067AA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restart"/>
                  <w:tcBorders>
                    <w:tl2br w:val="nil"/>
                    <w:tr2bl w:val="nil"/>
                  </w:tcBorders>
                  <w:noWrap w:val="0"/>
                  <w:vAlign w:val="center"/>
                </w:tcPr>
                <w:p w14:paraId="12FF26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氯化氢</w:t>
                  </w:r>
                </w:p>
              </w:tc>
              <w:tc>
                <w:tcPr>
                  <w:tcW w:w="1120" w:type="pct"/>
                  <w:tcBorders>
                    <w:tl2br w:val="nil"/>
                    <w:tr2bl w:val="nil"/>
                  </w:tcBorders>
                  <w:shd w:val="clear" w:color="auto" w:fill="auto"/>
                  <w:noWrap w:val="0"/>
                  <w:vAlign w:val="center"/>
                </w:tcPr>
                <w:p w14:paraId="000587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有组织</w:t>
                  </w:r>
                </w:p>
              </w:tc>
              <w:tc>
                <w:tcPr>
                  <w:tcW w:w="765" w:type="pct"/>
                  <w:tcBorders>
                    <w:tl2br w:val="nil"/>
                    <w:tr2bl w:val="nil"/>
                  </w:tcBorders>
                  <w:shd w:val="clear" w:color="auto" w:fill="auto"/>
                  <w:noWrap w:val="0"/>
                  <w:vAlign w:val="center"/>
                </w:tcPr>
                <w:p w14:paraId="5E799742">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898" w:type="pct"/>
                  <w:vMerge w:val="restart"/>
                  <w:tcBorders>
                    <w:tl2br w:val="nil"/>
                    <w:tr2bl w:val="nil"/>
                  </w:tcBorders>
                  <w:noWrap w:val="0"/>
                  <w:vAlign w:val="center"/>
                </w:tcPr>
                <w:p w14:paraId="20A2F4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《大气污染物综合排放标准》（GB16297-1996）</w:t>
                  </w:r>
                </w:p>
              </w:tc>
            </w:tr>
            <w:tr w14:paraId="77494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2E9CD9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continue"/>
                  <w:tcBorders>
                    <w:tl2br w:val="nil"/>
                    <w:tr2bl w:val="nil"/>
                  </w:tcBorders>
                  <w:noWrap w:val="0"/>
                  <w:vAlign w:val="center"/>
                </w:tcPr>
                <w:p w14:paraId="15E440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20" w:type="pct"/>
                  <w:tcBorders>
                    <w:tl2br w:val="nil"/>
                    <w:tr2bl w:val="nil"/>
                  </w:tcBorders>
                  <w:shd w:val="clear" w:color="auto" w:fill="auto"/>
                  <w:noWrap w:val="0"/>
                  <w:vAlign w:val="center"/>
                </w:tcPr>
                <w:p w14:paraId="56C5CA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无组织</w:t>
                  </w:r>
                </w:p>
              </w:tc>
              <w:tc>
                <w:tcPr>
                  <w:tcW w:w="765" w:type="pct"/>
                  <w:tcBorders>
                    <w:tl2br w:val="nil"/>
                    <w:tr2bl w:val="nil"/>
                  </w:tcBorders>
                  <w:shd w:val="clear" w:color="auto" w:fill="auto"/>
                  <w:noWrap w:val="0"/>
                  <w:vAlign w:val="center"/>
                </w:tcPr>
                <w:p w14:paraId="34F3E9DF">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898" w:type="pct"/>
                  <w:vMerge w:val="continue"/>
                  <w:tcBorders>
                    <w:tl2br w:val="nil"/>
                    <w:tr2bl w:val="nil"/>
                  </w:tcBorders>
                  <w:noWrap w:val="0"/>
                  <w:vAlign w:val="center"/>
                </w:tcPr>
                <w:p w14:paraId="04C9B6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3C210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339C430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restart"/>
                  <w:tcBorders>
                    <w:tl2br w:val="nil"/>
                    <w:tr2bl w:val="nil"/>
                  </w:tcBorders>
                  <w:noWrap w:val="0"/>
                  <w:vAlign w:val="center"/>
                </w:tcPr>
                <w:p w14:paraId="79CBEA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硫酸雾</w:t>
                  </w:r>
                </w:p>
              </w:tc>
              <w:tc>
                <w:tcPr>
                  <w:tcW w:w="1120" w:type="pct"/>
                  <w:tcBorders>
                    <w:tl2br w:val="nil"/>
                    <w:tr2bl w:val="nil"/>
                  </w:tcBorders>
                  <w:shd w:val="clear" w:color="auto" w:fill="auto"/>
                  <w:noWrap w:val="0"/>
                  <w:vAlign w:val="center"/>
                </w:tcPr>
                <w:p w14:paraId="4BA9E0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有组织</w:t>
                  </w:r>
                </w:p>
              </w:tc>
              <w:tc>
                <w:tcPr>
                  <w:tcW w:w="765" w:type="pct"/>
                  <w:tcBorders>
                    <w:tl2br w:val="nil"/>
                    <w:tr2bl w:val="nil"/>
                  </w:tcBorders>
                  <w:shd w:val="clear" w:color="auto" w:fill="auto"/>
                  <w:noWrap w:val="0"/>
                  <w:vAlign w:val="center"/>
                </w:tcPr>
                <w:p w14:paraId="17863154">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898" w:type="pct"/>
                  <w:vMerge w:val="restart"/>
                  <w:tcBorders>
                    <w:tl2br w:val="nil"/>
                    <w:tr2bl w:val="nil"/>
                  </w:tcBorders>
                  <w:noWrap w:val="0"/>
                  <w:vAlign w:val="center"/>
                </w:tcPr>
                <w:p w14:paraId="6A80D5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《大气污染物综合排放标准》（GB16297-1996）</w:t>
                  </w:r>
                </w:p>
              </w:tc>
            </w:tr>
            <w:tr w14:paraId="4A3E8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2A64D7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continue"/>
                  <w:tcBorders>
                    <w:tl2br w:val="nil"/>
                    <w:tr2bl w:val="nil"/>
                  </w:tcBorders>
                  <w:noWrap w:val="0"/>
                  <w:vAlign w:val="center"/>
                </w:tcPr>
                <w:p w14:paraId="2C70BF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20" w:type="pct"/>
                  <w:tcBorders>
                    <w:tl2br w:val="nil"/>
                    <w:tr2bl w:val="nil"/>
                  </w:tcBorders>
                  <w:shd w:val="clear" w:color="auto" w:fill="auto"/>
                  <w:noWrap w:val="0"/>
                  <w:vAlign w:val="center"/>
                </w:tcPr>
                <w:p w14:paraId="1DAC8F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无组织</w:t>
                  </w:r>
                </w:p>
              </w:tc>
              <w:tc>
                <w:tcPr>
                  <w:tcW w:w="765" w:type="pct"/>
                  <w:tcBorders>
                    <w:tl2br w:val="nil"/>
                    <w:tr2bl w:val="nil"/>
                  </w:tcBorders>
                  <w:shd w:val="clear" w:color="auto" w:fill="auto"/>
                  <w:noWrap w:val="0"/>
                  <w:vAlign w:val="center"/>
                </w:tcPr>
                <w:p w14:paraId="7AF3637A">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898" w:type="pct"/>
                  <w:vMerge w:val="continue"/>
                  <w:tcBorders>
                    <w:tl2br w:val="nil"/>
                    <w:tr2bl w:val="nil"/>
                  </w:tcBorders>
                  <w:noWrap w:val="0"/>
                  <w:vAlign w:val="center"/>
                </w:tcPr>
                <w:p w14:paraId="5ECAA8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646D3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7B93B4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restart"/>
                  <w:tcBorders>
                    <w:tl2br w:val="nil"/>
                    <w:tr2bl w:val="nil"/>
                  </w:tcBorders>
                  <w:noWrap w:val="0"/>
                  <w:vAlign w:val="center"/>
                </w:tcPr>
                <w:p w14:paraId="121B20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氟化物</w:t>
                  </w:r>
                </w:p>
              </w:tc>
              <w:tc>
                <w:tcPr>
                  <w:tcW w:w="1120" w:type="pct"/>
                  <w:tcBorders>
                    <w:tl2br w:val="nil"/>
                    <w:tr2bl w:val="nil"/>
                  </w:tcBorders>
                  <w:shd w:val="clear" w:color="auto" w:fill="auto"/>
                  <w:noWrap w:val="0"/>
                  <w:vAlign w:val="center"/>
                </w:tcPr>
                <w:p w14:paraId="22E329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有组织</w:t>
                  </w:r>
                </w:p>
              </w:tc>
              <w:tc>
                <w:tcPr>
                  <w:tcW w:w="765" w:type="pct"/>
                  <w:tcBorders>
                    <w:tl2br w:val="nil"/>
                    <w:tr2bl w:val="nil"/>
                  </w:tcBorders>
                  <w:shd w:val="clear" w:color="auto" w:fill="auto"/>
                  <w:noWrap w:val="0"/>
                  <w:vAlign w:val="center"/>
                </w:tcPr>
                <w:p w14:paraId="09DD189D">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1898" w:type="pct"/>
                  <w:vMerge w:val="restart"/>
                  <w:tcBorders>
                    <w:tl2br w:val="nil"/>
                    <w:tr2bl w:val="nil"/>
                  </w:tcBorders>
                  <w:noWrap w:val="0"/>
                  <w:vAlign w:val="center"/>
                </w:tcPr>
                <w:p w14:paraId="0B1337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《大气污染物综合排放标准》（GB16297-1996）</w:t>
                  </w:r>
                </w:p>
              </w:tc>
            </w:tr>
            <w:tr w14:paraId="6F87D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571DE4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continue"/>
                  <w:tcBorders>
                    <w:tl2br w:val="nil"/>
                    <w:tr2bl w:val="nil"/>
                  </w:tcBorders>
                  <w:noWrap w:val="0"/>
                  <w:vAlign w:val="center"/>
                </w:tcPr>
                <w:p w14:paraId="54D428E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20" w:type="pct"/>
                  <w:tcBorders>
                    <w:tl2br w:val="nil"/>
                    <w:tr2bl w:val="nil"/>
                  </w:tcBorders>
                  <w:shd w:val="clear" w:color="auto" w:fill="auto"/>
                  <w:noWrap w:val="0"/>
                  <w:vAlign w:val="center"/>
                </w:tcPr>
                <w:p w14:paraId="3B190C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无组织</w:t>
                  </w:r>
                </w:p>
              </w:tc>
              <w:tc>
                <w:tcPr>
                  <w:tcW w:w="765" w:type="pct"/>
                  <w:tcBorders>
                    <w:tl2br w:val="nil"/>
                    <w:tr2bl w:val="nil"/>
                  </w:tcBorders>
                  <w:shd w:val="clear" w:color="auto" w:fill="auto"/>
                  <w:noWrap w:val="0"/>
                  <w:vAlign w:val="center"/>
                </w:tcPr>
                <w:p w14:paraId="444D9DCE">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898" w:type="pct"/>
                  <w:vMerge w:val="continue"/>
                  <w:tcBorders>
                    <w:tl2br w:val="nil"/>
                    <w:tr2bl w:val="nil"/>
                  </w:tcBorders>
                  <w:noWrap w:val="0"/>
                  <w:vAlign w:val="center"/>
                </w:tcPr>
                <w:p w14:paraId="3B498E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53819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40D783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restart"/>
                  <w:tcBorders>
                    <w:tl2br w:val="nil"/>
                    <w:tr2bl w:val="nil"/>
                  </w:tcBorders>
                  <w:noWrap w:val="0"/>
                  <w:vAlign w:val="center"/>
                </w:tcPr>
                <w:p w14:paraId="466A2EE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氮氧化物</w:t>
                  </w:r>
                </w:p>
              </w:tc>
              <w:tc>
                <w:tcPr>
                  <w:tcW w:w="1120" w:type="pct"/>
                  <w:tcBorders>
                    <w:tl2br w:val="nil"/>
                    <w:tr2bl w:val="nil"/>
                  </w:tcBorders>
                  <w:shd w:val="clear" w:color="auto" w:fill="auto"/>
                  <w:noWrap w:val="0"/>
                  <w:vAlign w:val="center"/>
                </w:tcPr>
                <w:p w14:paraId="400EB7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有组织</w:t>
                  </w:r>
                </w:p>
              </w:tc>
              <w:tc>
                <w:tcPr>
                  <w:tcW w:w="765" w:type="pct"/>
                  <w:tcBorders>
                    <w:tl2br w:val="nil"/>
                    <w:tr2bl w:val="nil"/>
                  </w:tcBorders>
                  <w:shd w:val="clear" w:color="auto" w:fill="auto"/>
                  <w:noWrap w:val="0"/>
                  <w:vAlign w:val="center"/>
                </w:tcPr>
                <w:p w14:paraId="40FA8946">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240</w:t>
                  </w:r>
                </w:p>
              </w:tc>
              <w:tc>
                <w:tcPr>
                  <w:tcW w:w="1898" w:type="pct"/>
                  <w:vMerge w:val="restart"/>
                  <w:tcBorders>
                    <w:tl2br w:val="nil"/>
                    <w:tr2bl w:val="nil"/>
                  </w:tcBorders>
                  <w:noWrap w:val="0"/>
                  <w:vAlign w:val="center"/>
                </w:tcPr>
                <w:p w14:paraId="5BD48C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《大气污染物综合排放标准》（GB16297-1996）</w:t>
                  </w:r>
                </w:p>
                <w:p w14:paraId="139F2741">
                  <w:pPr>
                    <w:keepNext w:val="0"/>
                    <w:keepLines w:val="0"/>
                    <w:suppressLineNumbers w:val="0"/>
                    <w:spacing w:before="0" w:beforeAutospacing="0" w:after="0" w:afterAutospacing="0"/>
                    <w:ind w:left="0" w:right="0"/>
                    <w:rPr>
                      <w:rFonts w:hint="default"/>
                      <w:color w:val="auto"/>
                      <w:sz w:val="21"/>
                      <w:szCs w:val="21"/>
                      <w:highlight w:val="none"/>
                      <w:lang w:val="en-US" w:eastAsia="zh-CN"/>
                    </w:rPr>
                  </w:pPr>
                </w:p>
              </w:tc>
            </w:tr>
            <w:tr w14:paraId="0C5A8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733CF5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continue"/>
                  <w:tcBorders>
                    <w:tl2br w:val="nil"/>
                    <w:tr2bl w:val="nil"/>
                  </w:tcBorders>
                  <w:noWrap w:val="0"/>
                  <w:vAlign w:val="center"/>
                </w:tcPr>
                <w:p w14:paraId="5FBDF1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20" w:type="pct"/>
                  <w:tcBorders>
                    <w:tl2br w:val="nil"/>
                    <w:tr2bl w:val="nil"/>
                  </w:tcBorders>
                  <w:shd w:val="clear" w:color="auto" w:fill="auto"/>
                  <w:noWrap w:val="0"/>
                  <w:vAlign w:val="center"/>
                </w:tcPr>
                <w:p w14:paraId="43A6C2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无组织</w:t>
                  </w:r>
                </w:p>
              </w:tc>
              <w:tc>
                <w:tcPr>
                  <w:tcW w:w="765" w:type="pct"/>
                  <w:tcBorders>
                    <w:tl2br w:val="nil"/>
                    <w:tr2bl w:val="nil"/>
                  </w:tcBorders>
                  <w:shd w:val="clear" w:color="auto" w:fill="auto"/>
                  <w:noWrap w:val="0"/>
                  <w:vAlign w:val="center"/>
                </w:tcPr>
                <w:p w14:paraId="3FDC437C">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0.12</w:t>
                  </w:r>
                </w:p>
              </w:tc>
              <w:tc>
                <w:tcPr>
                  <w:tcW w:w="1898" w:type="pct"/>
                  <w:vMerge w:val="continue"/>
                  <w:tcBorders>
                    <w:tl2br w:val="nil"/>
                    <w:tr2bl w:val="nil"/>
                  </w:tcBorders>
                  <w:noWrap w:val="0"/>
                  <w:vAlign w:val="center"/>
                </w:tcPr>
                <w:p w14:paraId="339213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4F1E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238EFA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restart"/>
                  <w:tcBorders>
                    <w:tl2br w:val="nil"/>
                    <w:tr2bl w:val="nil"/>
                  </w:tcBorders>
                  <w:noWrap w:val="0"/>
                  <w:vAlign w:val="center"/>
                </w:tcPr>
                <w:p w14:paraId="02181C5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非甲烷</w:t>
                  </w:r>
                </w:p>
                <w:p w14:paraId="48150B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总烃</w:t>
                  </w:r>
                </w:p>
              </w:tc>
              <w:tc>
                <w:tcPr>
                  <w:tcW w:w="1120" w:type="pct"/>
                  <w:tcBorders>
                    <w:tl2br w:val="nil"/>
                    <w:tr2bl w:val="nil"/>
                  </w:tcBorders>
                  <w:shd w:val="clear" w:color="auto" w:fill="auto"/>
                  <w:noWrap w:val="0"/>
                  <w:vAlign w:val="center"/>
                </w:tcPr>
                <w:p w14:paraId="215AA6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有组织</w:t>
                  </w:r>
                </w:p>
              </w:tc>
              <w:tc>
                <w:tcPr>
                  <w:tcW w:w="765" w:type="pct"/>
                  <w:tcBorders>
                    <w:tl2br w:val="nil"/>
                    <w:tr2bl w:val="nil"/>
                  </w:tcBorders>
                  <w:shd w:val="clear" w:color="auto" w:fill="auto"/>
                  <w:noWrap w:val="0"/>
                  <w:vAlign w:val="center"/>
                </w:tcPr>
                <w:p w14:paraId="38729FEC">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1898" w:type="pct"/>
                  <w:vMerge w:val="restart"/>
                  <w:tcBorders>
                    <w:tl2br w:val="nil"/>
                    <w:tr2bl w:val="nil"/>
                  </w:tcBorders>
                  <w:noWrap w:val="0"/>
                  <w:vAlign w:val="center"/>
                </w:tcPr>
                <w:p w14:paraId="69CCD0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《大气污染物综合排放标准》（GB16297-1996）</w:t>
                  </w:r>
                </w:p>
              </w:tc>
            </w:tr>
            <w:tr w14:paraId="0A84D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1E7860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continue"/>
                  <w:tcBorders>
                    <w:tl2br w:val="nil"/>
                    <w:tr2bl w:val="nil"/>
                  </w:tcBorders>
                  <w:noWrap w:val="0"/>
                  <w:vAlign w:val="center"/>
                </w:tcPr>
                <w:p w14:paraId="4625918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20" w:type="pct"/>
                  <w:tcBorders>
                    <w:tl2br w:val="nil"/>
                    <w:tr2bl w:val="nil"/>
                  </w:tcBorders>
                  <w:shd w:val="clear" w:color="auto" w:fill="auto"/>
                  <w:noWrap w:val="0"/>
                  <w:vAlign w:val="center"/>
                </w:tcPr>
                <w:p w14:paraId="1E3EB4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无组织</w:t>
                  </w:r>
                </w:p>
              </w:tc>
              <w:tc>
                <w:tcPr>
                  <w:tcW w:w="765" w:type="pct"/>
                  <w:tcBorders>
                    <w:tl2br w:val="nil"/>
                    <w:tr2bl w:val="nil"/>
                  </w:tcBorders>
                  <w:shd w:val="clear" w:color="auto" w:fill="auto"/>
                  <w:noWrap w:val="0"/>
                  <w:vAlign w:val="center"/>
                </w:tcPr>
                <w:p w14:paraId="4DDF2B5A">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898" w:type="pct"/>
                  <w:vMerge w:val="continue"/>
                  <w:tcBorders>
                    <w:tl2br w:val="nil"/>
                    <w:tr2bl w:val="nil"/>
                  </w:tcBorders>
                  <w:noWrap w:val="0"/>
                  <w:vAlign w:val="center"/>
                </w:tcPr>
                <w:p w14:paraId="3C2741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2271D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5FEE0C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continue"/>
                  <w:tcBorders>
                    <w:tl2br w:val="nil"/>
                    <w:tr2bl w:val="nil"/>
                  </w:tcBorders>
                  <w:noWrap w:val="0"/>
                  <w:vAlign w:val="center"/>
                </w:tcPr>
                <w:p w14:paraId="7D523D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20" w:type="pct"/>
                  <w:tcBorders>
                    <w:tl2br w:val="nil"/>
                    <w:tr2bl w:val="nil"/>
                  </w:tcBorders>
                  <w:shd w:val="clear" w:color="auto" w:fill="auto"/>
                  <w:noWrap w:val="0"/>
                  <w:vAlign w:val="center"/>
                </w:tcPr>
                <w:p w14:paraId="2C3DF39C">
                  <w:pPr>
                    <w:pStyle w:val="58"/>
                    <w:keepNext w:val="0"/>
                    <w:keepLines w:val="0"/>
                    <w:pageBreakBefore w:val="0"/>
                    <w:widowControl/>
                    <w:suppressLineNumbers w:val="0"/>
                    <w:kinsoku/>
                    <w:wordWrap/>
                    <w:overflowPunct w:val="0"/>
                    <w:topLinePunct w:val="0"/>
                    <w:autoSpaceDE w:val="0"/>
                    <w:autoSpaceDN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baseline"/>
                    <w:rPr>
                      <w:rFonts w:hint="eastAsia" w:cs="Times New Roman"/>
                      <w:caps w:val="0"/>
                      <w:smallCap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厂区内监控点处1h平均浓度值</w:t>
                  </w:r>
                </w:p>
              </w:tc>
              <w:tc>
                <w:tcPr>
                  <w:tcW w:w="765" w:type="pct"/>
                  <w:tcBorders>
                    <w:tl2br w:val="nil"/>
                    <w:tr2bl w:val="nil"/>
                  </w:tcBorders>
                  <w:shd w:val="clear" w:color="auto" w:fill="auto"/>
                  <w:noWrap w:val="0"/>
                  <w:vAlign w:val="center"/>
                </w:tcPr>
                <w:p w14:paraId="3D13CEA0">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898" w:type="pct"/>
                  <w:vMerge w:val="restart"/>
                  <w:tcBorders>
                    <w:tl2br w:val="nil"/>
                    <w:tr2bl w:val="nil"/>
                  </w:tcBorders>
                  <w:noWrap w:val="0"/>
                  <w:vAlign w:val="center"/>
                </w:tcPr>
                <w:p w14:paraId="37CA81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《挥发性有机物无组织排放控制标准》GB37822-2019</w:t>
                  </w:r>
                </w:p>
              </w:tc>
            </w:tr>
            <w:tr w14:paraId="71A4A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pct"/>
                  <w:vMerge w:val="continue"/>
                  <w:tcBorders>
                    <w:tl2br w:val="nil"/>
                    <w:tr2bl w:val="nil"/>
                  </w:tcBorders>
                  <w:noWrap w:val="0"/>
                  <w:vAlign w:val="center"/>
                </w:tcPr>
                <w:p w14:paraId="252623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686" w:type="pct"/>
                  <w:vMerge w:val="continue"/>
                  <w:tcBorders>
                    <w:tl2br w:val="nil"/>
                    <w:tr2bl w:val="nil"/>
                  </w:tcBorders>
                  <w:noWrap w:val="0"/>
                  <w:vAlign w:val="center"/>
                </w:tcPr>
                <w:p w14:paraId="7EDAA6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20" w:type="pct"/>
                  <w:tcBorders>
                    <w:tl2br w:val="nil"/>
                    <w:tr2bl w:val="nil"/>
                  </w:tcBorders>
                  <w:shd w:val="clear" w:color="auto" w:fill="auto"/>
                  <w:noWrap w:val="0"/>
                  <w:vAlign w:val="center"/>
                </w:tcPr>
                <w:p w14:paraId="3609F377">
                  <w:pPr>
                    <w:pStyle w:val="58"/>
                    <w:keepNext w:val="0"/>
                    <w:keepLines w:val="0"/>
                    <w:pageBreakBefore w:val="0"/>
                    <w:widowControl/>
                    <w:suppressLineNumbers w:val="0"/>
                    <w:kinsoku/>
                    <w:wordWrap/>
                    <w:overflowPunct w:val="0"/>
                    <w:topLinePunct w:val="0"/>
                    <w:autoSpaceDE w:val="0"/>
                    <w:autoSpaceDN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baseline"/>
                    <w:rPr>
                      <w:rFonts w:hint="eastAsia" w:cs="Times New Roman"/>
                      <w:caps w:val="0"/>
                      <w:smallCap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厂区内</w:t>
                  </w:r>
                  <w:r>
                    <w:rPr>
                      <w:rFonts w:hint="default" w:ascii="Times New Roman" w:hAnsi="Times New Roman" w:eastAsia="宋体" w:cs="Times New Roman"/>
                      <w:color w:val="auto"/>
                      <w:sz w:val="21"/>
                      <w:szCs w:val="21"/>
                      <w:highlight w:val="none"/>
                      <w:lang w:val="en-US" w:eastAsia="zh-CN"/>
                    </w:rPr>
                    <w:t>监控点处任意一次浓度值</w:t>
                  </w:r>
                </w:p>
              </w:tc>
              <w:tc>
                <w:tcPr>
                  <w:tcW w:w="765" w:type="pct"/>
                  <w:tcBorders>
                    <w:tl2br w:val="nil"/>
                    <w:tr2bl w:val="nil"/>
                  </w:tcBorders>
                  <w:shd w:val="clear" w:color="auto" w:fill="auto"/>
                  <w:noWrap w:val="0"/>
                  <w:vAlign w:val="center"/>
                </w:tcPr>
                <w:p w14:paraId="3E7210A9">
                  <w:pPr>
                    <w:keepNext w:val="0"/>
                    <w:keepLines w:val="0"/>
                    <w:pageBreakBefore w:val="0"/>
                    <w:widowControl w:val="0"/>
                    <w:suppressLineNumbers w:val="0"/>
                    <w:shd w:val="clear" w:color="auto" w:fill="auto"/>
                    <w:kinsoku/>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898" w:type="pct"/>
                  <w:vMerge w:val="continue"/>
                  <w:tcBorders>
                    <w:tl2br w:val="nil"/>
                    <w:tr2bl w:val="nil"/>
                  </w:tcBorders>
                  <w:noWrap w:val="0"/>
                  <w:vAlign w:val="center"/>
                </w:tcPr>
                <w:p w14:paraId="2DFB21E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p>
              </w:tc>
            </w:tr>
          </w:tbl>
          <w:p w14:paraId="532E76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4"/>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2、本</w:t>
            </w:r>
            <w:r>
              <w:rPr>
                <w:rFonts w:hint="default" w:ascii="Times New Roman" w:hAnsi="Times New Roman" w:eastAsia="宋体" w:cs="Times New Roman"/>
                <w:color w:val="auto"/>
                <w:kern w:val="2"/>
                <w:sz w:val="24"/>
                <w:szCs w:val="24"/>
                <w:highlight w:val="none"/>
                <w:lang w:val="en-US" w:eastAsia="zh-CN" w:bidi="ar-SA"/>
              </w:rPr>
              <w:t>项目</w:t>
            </w:r>
            <w:r>
              <w:rPr>
                <w:rFonts w:hint="default" w:ascii="Times New Roman" w:hAnsi="Times New Roman" w:eastAsia="宋体" w:cs="Times New Roman"/>
                <w:color w:val="auto"/>
                <w:kern w:val="24"/>
                <w:sz w:val="24"/>
                <w:szCs w:val="24"/>
                <w:highlight w:val="none"/>
                <w:lang w:eastAsia="zh-CN"/>
              </w:rPr>
              <w:t>废水排放执行《污水综合排放标准》（GB 8978-1996）</w:t>
            </w:r>
            <w:r>
              <w:rPr>
                <w:rFonts w:hint="default" w:ascii="Times New Roman" w:hAnsi="Times New Roman" w:eastAsia="宋体" w:cs="Times New Roman"/>
                <w:color w:val="auto"/>
                <w:kern w:val="24"/>
                <w:sz w:val="24"/>
                <w:szCs w:val="24"/>
                <w:highlight w:val="none"/>
                <w:lang w:val="en-US" w:eastAsia="zh-CN"/>
              </w:rPr>
              <w:t>表4中</w:t>
            </w:r>
            <w:r>
              <w:rPr>
                <w:rFonts w:hint="default" w:ascii="Times New Roman" w:hAnsi="Times New Roman" w:eastAsia="宋体" w:cs="Times New Roman"/>
                <w:color w:val="auto"/>
                <w:kern w:val="24"/>
                <w:sz w:val="24"/>
                <w:szCs w:val="24"/>
                <w:highlight w:val="none"/>
                <w:lang w:eastAsia="zh-CN"/>
              </w:rPr>
              <w:t>三级标准及《污水排入城镇下水道水质标准》（GB/T 31962-2015）表1中的B标准。</w:t>
            </w:r>
          </w:p>
          <w:p w14:paraId="025B69B3">
            <w:pPr>
              <w:pStyle w:val="108"/>
              <w:keepNext w:val="0"/>
              <w:keepLines w:val="0"/>
              <w:suppressLineNumbers w:val="0"/>
              <w:shd w:val="clear" w:color="auto" w:fill="auto"/>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表3-</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eastAsia="zh-CN"/>
              </w:rPr>
              <w:t>废水排放标准</w:t>
            </w:r>
          </w:p>
          <w:tbl>
            <w:tblPr>
              <w:tblStyle w:val="29"/>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519"/>
              <w:gridCol w:w="1607"/>
              <w:gridCol w:w="4312"/>
            </w:tblGrid>
            <w:tr w14:paraId="55714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5" w:type="pct"/>
                  <w:tcBorders>
                    <w:tl2br w:val="nil"/>
                    <w:tr2bl w:val="nil"/>
                  </w:tcBorders>
                  <w:vAlign w:val="center"/>
                </w:tcPr>
                <w:p w14:paraId="34EF32E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类别</w:t>
                  </w:r>
                </w:p>
              </w:tc>
              <w:tc>
                <w:tcPr>
                  <w:tcW w:w="918" w:type="pct"/>
                  <w:tcBorders>
                    <w:tl2br w:val="nil"/>
                    <w:tr2bl w:val="nil"/>
                  </w:tcBorders>
                  <w:vAlign w:val="center"/>
                </w:tcPr>
                <w:p w14:paraId="76F68D0E">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rPr>
                    <w:t>污染物</w:t>
                  </w:r>
                </w:p>
              </w:tc>
              <w:tc>
                <w:tcPr>
                  <w:tcW w:w="971" w:type="pct"/>
                  <w:tcBorders>
                    <w:tl2br w:val="nil"/>
                    <w:tr2bl w:val="nil"/>
                  </w:tcBorders>
                  <w:vAlign w:val="center"/>
                </w:tcPr>
                <w:p w14:paraId="47C3FCB2">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标准限值</w:t>
                  </w:r>
                </w:p>
              </w:tc>
              <w:tc>
                <w:tcPr>
                  <w:tcW w:w="2605" w:type="pct"/>
                  <w:tcBorders>
                    <w:tl2br w:val="nil"/>
                    <w:tr2bl w:val="nil"/>
                  </w:tcBorders>
                  <w:vAlign w:val="center"/>
                </w:tcPr>
                <w:p w14:paraId="275CBDA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标准</w:t>
                  </w:r>
                </w:p>
              </w:tc>
            </w:tr>
            <w:tr w14:paraId="5D028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5" w:type="pct"/>
                  <w:vMerge w:val="restart"/>
                  <w:tcBorders>
                    <w:tl2br w:val="nil"/>
                    <w:tr2bl w:val="nil"/>
                  </w:tcBorders>
                  <w:vAlign w:val="center"/>
                </w:tcPr>
                <w:p w14:paraId="1B2182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918" w:type="pct"/>
                  <w:tcBorders>
                    <w:tl2br w:val="nil"/>
                    <w:tr2bl w:val="nil"/>
                  </w:tcBorders>
                  <w:vAlign w:val="center"/>
                </w:tcPr>
                <w:p w14:paraId="3E362487">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971" w:type="pct"/>
                  <w:tcBorders>
                    <w:tl2br w:val="nil"/>
                    <w:tr2bl w:val="nil"/>
                  </w:tcBorders>
                  <w:vAlign w:val="center"/>
                </w:tcPr>
                <w:p w14:paraId="682ECC35">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500mg/L</w:t>
                  </w:r>
                </w:p>
              </w:tc>
              <w:tc>
                <w:tcPr>
                  <w:tcW w:w="2605" w:type="pct"/>
                  <w:vMerge w:val="restart"/>
                  <w:tcBorders>
                    <w:tl2br w:val="nil"/>
                    <w:tr2bl w:val="nil"/>
                  </w:tcBorders>
                  <w:vAlign w:val="center"/>
                </w:tcPr>
                <w:p w14:paraId="56386E1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《污水综合排放标准》（GB 8978-1996）</w:t>
                  </w:r>
                  <w:r>
                    <w:rPr>
                      <w:rFonts w:hint="default" w:ascii="Times New Roman" w:hAnsi="Times New Roman" w:eastAsia="宋体" w:cs="Times New Roman"/>
                      <w:color w:val="auto"/>
                      <w:sz w:val="21"/>
                      <w:szCs w:val="21"/>
                      <w:highlight w:val="none"/>
                      <w:vertAlign w:val="baseline"/>
                      <w:lang w:val="en-US" w:eastAsia="zh-CN"/>
                    </w:rPr>
                    <w:t>表4中</w:t>
                  </w:r>
                  <w:r>
                    <w:rPr>
                      <w:rFonts w:hint="default" w:ascii="Times New Roman" w:hAnsi="Times New Roman" w:eastAsia="宋体" w:cs="Times New Roman"/>
                      <w:color w:val="auto"/>
                      <w:sz w:val="21"/>
                      <w:szCs w:val="21"/>
                      <w:highlight w:val="none"/>
                      <w:vertAlign w:val="baseline"/>
                    </w:rPr>
                    <w:t>三级标准</w:t>
                  </w:r>
                </w:p>
              </w:tc>
            </w:tr>
            <w:tr w14:paraId="35E91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5" w:type="pct"/>
                  <w:vMerge w:val="continue"/>
                  <w:tcBorders>
                    <w:tl2br w:val="nil"/>
                    <w:tr2bl w:val="nil"/>
                  </w:tcBorders>
                  <w:vAlign w:val="center"/>
                </w:tcPr>
                <w:p w14:paraId="7917DE9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rPr>
                  </w:pPr>
                </w:p>
              </w:tc>
              <w:tc>
                <w:tcPr>
                  <w:tcW w:w="918" w:type="pct"/>
                  <w:tcBorders>
                    <w:tl2br w:val="nil"/>
                    <w:tr2bl w:val="nil"/>
                  </w:tcBorders>
                  <w:vAlign w:val="center"/>
                </w:tcPr>
                <w:p w14:paraId="29141DA5">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971" w:type="pct"/>
                  <w:tcBorders>
                    <w:tl2br w:val="nil"/>
                    <w:tr2bl w:val="nil"/>
                  </w:tcBorders>
                  <w:vAlign w:val="center"/>
                </w:tcPr>
                <w:p w14:paraId="23858E9A">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300mg/L</w:t>
                  </w:r>
                </w:p>
              </w:tc>
              <w:tc>
                <w:tcPr>
                  <w:tcW w:w="2605" w:type="pct"/>
                  <w:vMerge w:val="continue"/>
                  <w:tcBorders>
                    <w:tl2br w:val="nil"/>
                    <w:tr2bl w:val="nil"/>
                  </w:tcBorders>
                  <w:vAlign w:val="center"/>
                </w:tcPr>
                <w:p w14:paraId="0F378D7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rPr>
                  </w:pPr>
                </w:p>
              </w:tc>
            </w:tr>
            <w:tr w14:paraId="19F6F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5" w:type="pct"/>
                  <w:vMerge w:val="continue"/>
                  <w:tcBorders>
                    <w:tl2br w:val="nil"/>
                    <w:tr2bl w:val="nil"/>
                  </w:tcBorders>
                  <w:vAlign w:val="center"/>
                </w:tcPr>
                <w:p w14:paraId="00859C0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rPr>
                  </w:pPr>
                </w:p>
              </w:tc>
              <w:tc>
                <w:tcPr>
                  <w:tcW w:w="918" w:type="pct"/>
                  <w:tcBorders>
                    <w:tl2br w:val="nil"/>
                    <w:tr2bl w:val="nil"/>
                  </w:tcBorders>
                  <w:vAlign w:val="center"/>
                </w:tcPr>
                <w:p w14:paraId="634E4277">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971" w:type="pct"/>
                  <w:tcBorders>
                    <w:tl2br w:val="nil"/>
                    <w:tr2bl w:val="nil"/>
                  </w:tcBorders>
                  <w:vAlign w:val="center"/>
                </w:tcPr>
                <w:p w14:paraId="553DEF44">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400mg/L</w:t>
                  </w:r>
                </w:p>
              </w:tc>
              <w:tc>
                <w:tcPr>
                  <w:tcW w:w="2605" w:type="pct"/>
                  <w:vMerge w:val="continue"/>
                  <w:tcBorders>
                    <w:tl2br w:val="nil"/>
                    <w:tr2bl w:val="nil"/>
                  </w:tcBorders>
                  <w:vAlign w:val="center"/>
                </w:tcPr>
                <w:p w14:paraId="0250469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rPr>
                  </w:pPr>
                </w:p>
              </w:tc>
            </w:tr>
            <w:tr w14:paraId="3B6A2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5" w:type="pct"/>
                  <w:vMerge w:val="continue"/>
                  <w:tcBorders>
                    <w:tl2br w:val="nil"/>
                    <w:tr2bl w:val="nil"/>
                  </w:tcBorders>
                  <w:vAlign w:val="center"/>
                </w:tcPr>
                <w:p w14:paraId="5F67028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rPr>
                  </w:pPr>
                </w:p>
              </w:tc>
              <w:tc>
                <w:tcPr>
                  <w:tcW w:w="918" w:type="pct"/>
                  <w:tcBorders>
                    <w:tl2br w:val="nil"/>
                    <w:tr2bl w:val="nil"/>
                  </w:tcBorders>
                  <w:vAlign w:val="center"/>
                </w:tcPr>
                <w:p w14:paraId="53B7FBEF">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971" w:type="pct"/>
                  <w:tcBorders>
                    <w:tl2br w:val="nil"/>
                    <w:tr2bl w:val="nil"/>
                  </w:tcBorders>
                  <w:vAlign w:val="center"/>
                </w:tcPr>
                <w:p w14:paraId="19D56C96">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45mg/L</w:t>
                  </w:r>
                </w:p>
              </w:tc>
              <w:tc>
                <w:tcPr>
                  <w:tcW w:w="2605" w:type="pct"/>
                  <w:vMerge w:val="restart"/>
                  <w:tcBorders>
                    <w:tl2br w:val="nil"/>
                    <w:tr2bl w:val="nil"/>
                  </w:tcBorders>
                  <w:vAlign w:val="center"/>
                </w:tcPr>
                <w:p w14:paraId="0943AD1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《污水排入城镇下水道水质标准</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rPr>
                    <w:t>（GB/T31962-2015）表1中的B标准</w:t>
                  </w:r>
                </w:p>
              </w:tc>
            </w:tr>
            <w:tr w14:paraId="37D53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5" w:type="pct"/>
                  <w:vMerge w:val="continue"/>
                  <w:tcBorders>
                    <w:tl2br w:val="nil"/>
                    <w:tr2bl w:val="nil"/>
                  </w:tcBorders>
                  <w:vAlign w:val="center"/>
                </w:tcPr>
                <w:p w14:paraId="455FC51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rPr>
                  </w:pPr>
                </w:p>
              </w:tc>
              <w:tc>
                <w:tcPr>
                  <w:tcW w:w="918" w:type="pct"/>
                  <w:tcBorders>
                    <w:tl2br w:val="nil"/>
                    <w:tr2bl w:val="nil"/>
                  </w:tcBorders>
                  <w:vAlign w:val="center"/>
                </w:tcPr>
                <w:p w14:paraId="2094F51C">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971" w:type="pct"/>
                  <w:tcBorders>
                    <w:tl2br w:val="nil"/>
                    <w:tr2bl w:val="nil"/>
                  </w:tcBorders>
                  <w:vAlign w:val="center"/>
                </w:tcPr>
                <w:p w14:paraId="75AE1419">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8mg/L</w:t>
                  </w:r>
                </w:p>
              </w:tc>
              <w:tc>
                <w:tcPr>
                  <w:tcW w:w="2605" w:type="pct"/>
                  <w:vMerge w:val="continue"/>
                  <w:tcBorders>
                    <w:tl2br w:val="nil"/>
                    <w:tr2bl w:val="nil"/>
                  </w:tcBorders>
                  <w:vAlign w:val="center"/>
                </w:tcPr>
                <w:p w14:paraId="44CABA7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rPr>
                  </w:pPr>
                </w:p>
              </w:tc>
            </w:tr>
            <w:tr w14:paraId="5E434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5" w:type="pct"/>
                  <w:vMerge w:val="continue"/>
                  <w:tcBorders>
                    <w:tl2br w:val="nil"/>
                    <w:tr2bl w:val="nil"/>
                  </w:tcBorders>
                  <w:vAlign w:val="center"/>
                </w:tcPr>
                <w:p w14:paraId="045EDF2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rPr>
                  </w:pPr>
                </w:p>
              </w:tc>
              <w:tc>
                <w:tcPr>
                  <w:tcW w:w="918" w:type="pct"/>
                  <w:tcBorders>
                    <w:tl2br w:val="nil"/>
                    <w:tr2bl w:val="nil"/>
                  </w:tcBorders>
                  <w:vAlign w:val="center"/>
                </w:tcPr>
                <w:p w14:paraId="24FAC0F0">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总氮</w:t>
                  </w:r>
                </w:p>
              </w:tc>
              <w:tc>
                <w:tcPr>
                  <w:tcW w:w="971" w:type="pct"/>
                  <w:tcBorders>
                    <w:tl2br w:val="nil"/>
                    <w:tr2bl w:val="nil"/>
                  </w:tcBorders>
                  <w:vAlign w:val="center"/>
                </w:tcPr>
                <w:p w14:paraId="0B094EBE">
                  <w:pPr>
                    <w:keepNext w:val="0"/>
                    <w:keepLines w:val="0"/>
                    <w:widowControl/>
                    <w:suppressLineNumbers w:val="0"/>
                    <w:shd w:val="clear" w:color="auto" w:fill="auto"/>
                    <w:spacing w:before="0" w:beforeAutospacing="0" w:after="0" w:afterAutospacing="0"/>
                    <w:ind w:left="0" w:leftChars="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70mg/L</w:t>
                  </w:r>
                </w:p>
              </w:tc>
              <w:tc>
                <w:tcPr>
                  <w:tcW w:w="2605" w:type="pct"/>
                  <w:vMerge w:val="continue"/>
                  <w:tcBorders>
                    <w:tl2br w:val="nil"/>
                    <w:tr2bl w:val="nil"/>
                  </w:tcBorders>
                  <w:vAlign w:val="center"/>
                </w:tcPr>
                <w:p w14:paraId="3C9832D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rPr>
                  </w:pPr>
                </w:p>
              </w:tc>
            </w:tr>
          </w:tbl>
          <w:p w14:paraId="30D99BE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噪声：建筑施工期噪声排放执行《建筑施工场界环境噪声排放标准》（GB12523-2011）中有关规定；营运期厂界噪声执行《工业企业厂界环境噪声排放标准》（GB12348-2008）3类标准，本项目的敏感点噪声执行《声环境质量标准》（GB3096-2008）2类标准，具体标准值见下表。</w:t>
            </w:r>
          </w:p>
          <w:p w14:paraId="0C8DEAB4">
            <w:pPr>
              <w:pStyle w:val="24"/>
              <w:keepNext w:val="0"/>
              <w:keepLines w:val="0"/>
              <w:widowControl/>
              <w:suppressLineNumbers w:val="0"/>
              <w:spacing w:before="0" w:beforeAutospacing="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eastAsia" w:ascii="Times New Roman" w:hAnsi="Times New Roman" w:cs="Times New Roman"/>
                <w:b/>
                <w:bCs/>
                <w:color w:val="auto"/>
                <w:sz w:val="21"/>
                <w:szCs w:val="21"/>
                <w:highlight w:val="none"/>
                <w:lang w:val="en-US" w:eastAsia="zh-CN"/>
              </w:rPr>
              <w:t>7</w:t>
            </w:r>
            <w:r>
              <w:rPr>
                <w:rFonts w:hint="default" w:ascii="Times New Roman" w:hAnsi="Times New Roman" w:eastAsia="宋体" w:cs="Times New Roman"/>
                <w:color w:val="auto"/>
                <w:sz w:val="21"/>
                <w:szCs w:val="21"/>
                <w:highlight w:val="none"/>
              </w:rPr>
              <w:t xml:space="preserve">  工业企业厂界环境噪声排放限值</w:t>
            </w:r>
          </w:p>
          <w:tbl>
            <w:tblPr>
              <w:tblStyle w:val="10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70"/>
              <w:gridCol w:w="855"/>
              <w:gridCol w:w="2957"/>
              <w:gridCol w:w="777"/>
              <w:gridCol w:w="1555"/>
              <w:gridCol w:w="1265"/>
            </w:tblGrid>
            <w:tr w14:paraId="02515F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041" w:type="pct"/>
                  <w:gridSpan w:val="2"/>
                  <w:vMerge w:val="restart"/>
                  <w:tcBorders>
                    <w:tl2br w:val="nil"/>
                    <w:tr2bl w:val="nil"/>
                  </w:tcBorders>
                  <w:vAlign w:val="center"/>
                </w:tcPr>
                <w:p w14:paraId="6A00A53E">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时期</w:t>
                  </w:r>
                </w:p>
              </w:tc>
              <w:tc>
                <w:tcPr>
                  <w:tcW w:w="1785" w:type="pct"/>
                  <w:vMerge w:val="restart"/>
                  <w:tcBorders>
                    <w:tl2br w:val="nil"/>
                    <w:tr2bl w:val="nil"/>
                  </w:tcBorders>
                  <w:vAlign w:val="center"/>
                </w:tcPr>
                <w:p w14:paraId="1C395C7C">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标准名称</w:t>
                  </w:r>
                </w:p>
              </w:tc>
              <w:tc>
                <w:tcPr>
                  <w:tcW w:w="469" w:type="pct"/>
                  <w:vMerge w:val="restart"/>
                  <w:tcBorders>
                    <w:tl2br w:val="nil"/>
                    <w:tr2bl w:val="nil"/>
                  </w:tcBorders>
                  <w:vAlign w:val="center"/>
                </w:tcPr>
                <w:p w14:paraId="660C425D">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级别</w:t>
                  </w:r>
                </w:p>
              </w:tc>
              <w:tc>
                <w:tcPr>
                  <w:tcW w:w="1703" w:type="pct"/>
                  <w:gridSpan w:val="2"/>
                  <w:tcBorders>
                    <w:tl2br w:val="nil"/>
                    <w:tr2bl w:val="nil"/>
                  </w:tcBorders>
                  <w:vAlign w:val="center"/>
                </w:tcPr>
                <w:p w14:paraId="38786F2A">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排放标准值[dB（A）</w:t>
                  </w:r>
                </w:p>
              </w:tc>
            </w:tr>
            <w:tr w14:paraId="677A3D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041" w:type="pct"/>
                  <w:gridSpan w:val="2"/>
                  <w:vMerge w:val="continue"/>
                  <w:tcBorders>
                    <w:tl2br w:val="nil"/>
                    <w:tr2bl w:val="nil"/>
                  </w:tcBorders>
                  <w:vAlign w:val="center"/>
                </w:tcPr>
                <w:p w14:paraId="1C7F3DE9">
                  <w:pPr>
                    <w:jc w:val="center"/>
                    <w:rPr>
                      <w:rFonts w:hint="default" w:ascii="Times New Roman" w:hAnsi="Times New Roman" w:eastAsia="宋体" w:cs="Times New Roman"/>
                      <w:b/>
                      <w:bCs/>
                      <w:color w:val="auto"/>
                      <w:sz w:val="21"/>
                      <w:szCs w:val="21"/>
                      <w:highlight w:val="none"/>
                      <w:lang w:val="en-US" w:eastAsia="zh-CN"/>
                    </w:rPr>
                  </w:pPr>
                </w:p>
              </w:tc>
              <w:tc>
                <w:tcPr>
                  <w:tcW w:w="1785" w:type="pct"/>
                  <w:vMerge w:val="continue"/>
                  <w:tcBorders>
                    <w:tl2br w:val="nil"/>
                    <w:tr2bl w:val="nil"/>
                  </w:tcBorders>
                  <w:vAlign w:val="center"/>
                </w:tcPr>
                <w:p w14:paraId="47F78746">
                  <w:pPr>
                    <w:jc w:val="center"/>
                    <w:rPr>
                      <w:rFonts w:hint="default" w:ascii="Times New Roman" w:hAnsi="Times New Roman" w:eastAsia="宋体" w:cs="Times New Roman"/>
                      <w:b/>
                      <w:bCs/>
                      <w:color w:val="auto"/>
                      <w:sz w:val="21"/>
                      <w:szCs w:val="21"/>
                      <w:highlight w:val="none"/>
                      <w:lang w:val="en-US" w:eastAsia="zh-CN"/>
                    </w:rPr>
                  </w:pPr>
                </w:p>
              </w:tc>
              <w:tc>
                <w:tcPr>
                  <w:tcW w:w="469" w:type="pct"/>
                  <w:vMerge w:val="continue"/>
                  <w:tcBorders>
                    <w:tl2br w:val="nil"/>
                    <w:tr2bl w:val="nil"/>
                  </w:tcBorders>
                  <w:vAlign w:val="center"/>
                </w:tcPr>
                <w:p w14:paraId="4BC63DA2">
                  <w:pPr>
                    <w:jc w:val="center"/>
                    <w:rPr>
                      <w:rFonts w:hint="default" w:ascii="Times New Roman" w:hAnsi="Times New Roman" w:eastAsia="宋体" w:cs="Times New Roman"/>
                      <w:b/>
                      <w:bCs/>
                      <w:color w:val="auto"/>
                      <w:sz w:val="21"/>
                      <w:szCs w:val="21"/>
                      <w:highlight w:val="none"/>
                      <w:lang w:val="en-US" w:eastAsia="zh-CN"/>
                    </w:rPr>
                  </w:pPr>
                </w:p>
              </w:tc>
              <w:tc>
                <w:tcPr>
                  <w:tcW w:w="939" w:type="pct"/>
                  <w:tcBorders>
                    <w:tl2br w:val="nil"/>
                    <w:tr2bl w:val="nil"/>
                  </w:tcBorders>
                  <w:vAlign w:val="center"/>
                </w:tcPr>
                <w:p w14:paraId="5FE4FEC2">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昼间</w:t>
                  </w:r>
                </w:p>
              </w:tc>
              <w:tc>
                <w:tcPr>
                  <w:tcW w:w="763" w:type="pct"/>
                  <w:tcBorders>
                    <w:tl2br w:val="nil"/>
                    <w:tr2bl w:val="nil"/>
                  </w:tcBorders>
                  <w:vAlign w:val="center"/>
                </w:tcPr>
                <w:p w14:paraId="02EE91FD">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夜间</w:t>
                  </w:r>
                </w:p>
              </w:tc>
            </w:tr>
            <w:tr w14:paraId="72E1BB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041" w:type="pct"/>
                  <w:gridSpan w:val="2"/>
                  <w:tcBorders>
                    <w:tl2br w:val="nil"/>
                    <w:tr2bl w:val="nil"/>
                  </w:tcBorders>
                  <w:vAlign w:val="center"/>
                </w:tcPr>
                <w:p w14:paraId="72083253">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施工期</w:t>
                  </w:r>
                </w:p>
              </w:tc>
              <w:tc>
                <w:tcPr>
                  <w:tcW w:w="1785" w:type="pct"/>
                  <w:tcBorders>
                    <w:tl2br w:val="nil"/>
                    <w:tr2bl w:val="nil"/>
                  </w:tcBorders>
                  <w:vAlign w:val="center"/>
                </w:tcPr>
                <w:p w14:paraId="5D0B62E9">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《建筑施工厂界环境噪声排放标准》（GB12523-2011）</w:t>
                  </w:r>
                </w:p>
              </w:tc>
              <w:tc>
                <w:tcPr>
                  <w:tcW w:w="469" w:type="pct"/>
                  <w:tcBorders>
                    <w:tl2br w:val="nil"/>
                    <w:tr2bl w:val="nil"/>
                  </w:tcBorders>
                  <w:vAlign w:val="center"/>
                </w:tcPr>
                <w:p w14:paraId="436165CE">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9" w:type="pct"/>
                  <w:tcBorders>
                    <w:tl2br w:val="nil"/>
                    <w:tr2bl w:val="nil"/>
                  </w:tcBorders>
                  <w:vAlign w:val="center"/>
                </w:tcPr>
                <w:p w14:paraId="1D2878AE">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763" w:type="pct"/>
                  <w:tcBorders>
                    <w:tl2br w:val="nil"/>
                    <w:tr2bl w:val="nil"/>
                  </w:tcBorders>
                  <w:vAlign w:val="center"/>
                </w:tcPr>
                <w:p w14:paraId="779E0096">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r>
            <w:tr w14:paraId="0A3D5F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525" w:type="pct"/>
                  <w:vMerge w:val="restart"/>
                  <w:tcBorders>
                    <w:tl2br w:val="nil"/>
                    <w:tr2bl w:val="nil"/>
                  </w:tcBorders>
                  <w:vAlign w:val="center"/>
                </w:tcPr>
                <w:p w14:paraId="2734AD2F">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p w14:paraId="5A74A737">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运营期</w:t>
                  </w:r>
                </w:p>
              </w:tc>
              <w:tc>
                <w:tcPr>
                  <w:tcW w:w="516" w:type="pct"/>
                  <w:tcBorders>
                    <w:tl2br w:val="nil"/>
                    <w:tr2bl w:val="nil"/>
                  </w:tcBorders>
                  <w:vAlign w:val="center"/>
                </w:tcPr>
                <w:p w14:paraId="0501465D">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厂界</w:t>
                  </w:r>
                </w:p>
              </w:tc>
              <w:tc>
                <w:tcPr>
                  <w:tcW w:w="1785" w:type="pct"/>
                  <w:tcBorders>
                    <w:tl2br w:val="nil"/>
                    <w:tr2bl w:val="nil"/>
                  </w:tcBorders>
                  <w:vAlign w:val="center"/>
                </w:tcPr>
                <w:p w14:paraId="1B80943D">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《工业企业厂界环境噪声排放标准》（GB12348-2008）</w:t>
                  </w:r>
                </w:p>
              </w:tc>
              <w:tc>
                <w:tcPr>
                  <w:tcW w:w="469" w:type="pct"/>
                  <w:tcBorders>
                    <w:tl2br w:val="nil"/>
                    <w:tr2bl w:val="nil"/>
                  </w:tcBorders>
                  <w:vAlign w:val="center"/>
                </w:tcPr>
                <w:p w14:paraId="686C4008">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3类</w:t>
                  </w:r>
                </w:p>
              </w:tc>
              <w:tc>
                <w:tcPr>
                  <w:tcW w:w="939" w:type="pct"/>
                  <w:tcBorders>
                    <w:tl2br w:val="nil"/>
                    <w:tr2bl w:val="nil"/>
                  </w:tcBorders>
                  <w:vAlign w:val="center"/>
                </w:tcPr>
                <w:p w14:paraId="54ADFD00">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763" w:type="pct"/>
                  <w:tcBorders>
                    <w:tl2br w:val="nil"/>
                    <w:tr2bl w:val="nil"/>
                  </w:tcBorders>
                  <w:vAlign w:val="center"/>
                </w:tcPr>
                <w:p w14:paraId="013F897A">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r>
            <w:tr w14:paraId="2301E8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25" w:type="pct"/>
                  <w:vMerge w:val="continue"/>
                  <w:tcBorders>
                    <w:tl2br w:val="nil"/>
                    <w:tr2bl w:val="nil"/>
                  </w:tcBorders>
                  <w:vAlign w:val="center"/>
                </w:tcPr>
                <w:p w14:paraId="207C412D">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16" w:type="pct"/>
                  <w:tcBorders>
                    <w:tl2br w:val="nil"/>
                    <w:tr2bl w:val="nil"/>
                  </w:tcBorders>
                  <w:vAlign w:val="center"/>
                </w:tcPr>
                <w:p w14:paraId="01CD3E7B">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敏感点</w:t>
                  </w:r>
                </w:p>
              </w:tc>
              <w:tc>
                <w:tcPr>
                  <w:tcW w:w="1785" w:type="pct"/>
                  <w:tcBorders>
                    <w:tl2br w:val="nil"/>
                    <w:tr2bl w:val="nil"/>
                  </w:tcBorders>
                  <w:vAlign w:val="center"/>
                </w:tcPr>
                <w:p w14:paraId="307EACA3">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《声环境质量标准》（GB3096-2008）</w:t>
                  </w:r>
                </w:p>
              </w:tc>
              <w:tc>
                <w:tcPr>
                  <w:tcW w:w="469" w:type="pct"/>
                  <w:tcBorders>
                    <w:tl2br w:val="nil"/>
                    <w:tr2bl w:val="nil"/>
                  </w:tcBorders>
                  <w:vAlign w:val="center"/>
                </w:tcPr>
                <w:p w14:paraId="5816EEE4">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2类</w:t>
                  </w:r>
                </w:p>
              </w:tc>
              <w:tc>
                <w:tcPr>
                  <w:tcW w:w="939" w:type="pct"/>
                  <w:tcBorders>
                    <w:tl2br w:val="nil"/>
                    <w:tr2bl w:val="nil"/>
                  </w:tcBorders>
                  <w:vAlign w:val="center"/>
                </w:tcPr>
                <w:p w14:paraId="62C299E5">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763" w:type="pct"/>
                  <w:tcBorders>
                    <w:tl2br w:val="nil"/>
                    <w:tr2bl w:val="nil"/>
                  </w:tcBorders>
                  <w:vAlign w:val="center"/>
                </w:tcPr>
                <w:p w14:paraId="6E58E865">
                  <w:pPr>
                    <w:keepNext w:val="0"/>
                    <w:keepLines w:val="0"/>
                    <w:widowControl/>
                    <w:suppressLineNumbers w:val="0"/>
                    <w:shd w:val="clear" w:color="auto" w:fill="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bl>
          <w:p w14:paraId="3FC07B35">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
                <w:sz w:val="24"/>
                <w:szCs w:val="24"/>
                <w:highlight w:val="none"/>
                <w:lang w:val="en-US" w:eastAsia="zh-CN" w:bidi="ar-SA"/>
              </w:rPr>
              <w:t>4、固体废物：一般固体废物执行《一般工业固体废物贮存和填埋污染控制标准》（GB 18599-2020）中的相关要求，危险废物执行《危险废物贮存污染控制标准》（GB 18597-2023）中的相关要求。</w:t>
            </w:r>
          </w:p>
        </w:tc>
      </w:tr>
      <w:tr w14:paraId="42CDE8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noWrap w:val="0"/>
            <w:vAlign w:val="center"/>
          </w:tcPr>
          <w:p w14:paraId="27A7BC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14:paraId="01E05B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14:paraId="389681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528" w:type="dxa"/>
            <w:noWrap w:val="0"/>
            <w:vAlign w:val="center"/>
          </w:tcPr>
          <w:p w14:paraId="3FFF4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snapToGrid w:val="0"/>
                <w:color w:val="auto"/>
                <w:sz w:val="24"/>
                <w:szCs w:val="24"/>
                <w:highlight w:val="none"/>
                <w:lang w:bidi="ar"/>
              </w:rPr>
              <w:t>《陕西省</w:t>
            </w:r>
            <w:r>
              <w:rPr>
                <w:rFonts w:hint="eastAsia" w:ascii="Times New Roman" w:hAnsi="Times New Roman" w:cs="Times New Roman"/>
                <w:snapToGrid w:val="0"/>
                <w:color w:val="auto"/>
                <w:sz w:val="24"/>
                <w:szCs w:val="24"/>
                <w:highlight w:val="none"/>
                <w:lang w:eastAsia="zh-CN" w:bidi="ar"/>
              </w:rPr>
              <w:t>“</w:t>
            </w:r>
            <w:r>
              <w:rPr>
                <w:rFonts w:hint="default" w:ascii="Times New Roman" w:hAnsi="Times New Roman" w:eastAsia="宋体" w:cs="Times New Roman"/>
                <w:snapToGrid w:val="0"/>
                <w:color w:val="auto"/>
                <w:sz w:val="24"/>
                <w:szCs w:val="24"/>
                <w:highlight w:val="none"/>
                <w:lang w:bidi="ar"/>
              </w:rPr>
              <w:t>十四五</w:t>
            </w:r>
            <w:r>
              <w:rPr>
                <w:rFonts w:hint="eastAsia" w:ascii="Times New Roman" w:hAnsi="Times New Roman" w:cs="Times New Roman"/>
                <w:snapToGrid w:val="0"/>
                <w:color w:val="auto"/>
                <w:sz w:val="24"/>
                <w:szCs w:val="24"/>
                <w:highlight w:val="none"/>
                <w:lang w:eastAsia="zh-CN" w:bidi="ar"/>
              </w:rPr>
              <w:t>”</w:t>
            </w:r>
            <w:r>
              <w:rPr>
                <w:rFonts w:hint="default" w:ascii="Times New Roman" w:hAnsi="Times New Roman" w:eastAsia="宋体" w:cs="Times New Roman"/>
                <w:snapToGrid w:val="0"/>
                <w:color w:val="auto"/>
                <w:sz w:val="24"/>
                <w:szCs w:val="24"/>
                <w:highlight w:val="none"/>
                <w:lang w:bidi="ar"/>
              </w:rPr>
              <w:t>生态环境保护规划》中</w:t>
            </w:r>
            <w:r>
              <w:rPr>
                <w:rFonts w:hint="eastAsia" w:ascii="Times New Roman" w:hAnsi="Times New Roman" w:cs="Times New Roman"/>
                <w:snapToGrid w:val="0"/>
                <w:color w:val="auto"/>
                <w:sz w:val="24"/>
                <w:szCs w:val="24"/>
                <w:highlight w:val="none"/>
                <w:lang w:eastAsia="zh-CN" w:bidi="ar"/>
              </w:rPr>
              <w:t>“</w:t>
            </w:r>
            <w:r>
              <w:rPr>
                <w:rFonts w:hint="default" w:ascii="Times New Roman" w:hAnsi="Times New Roman" w:eastAsia="宋体" w:cs="Times New Roman"/>
                <w:snapToGrid w:val="0"/>
                <w:color w:val="auto"/>
                <w:sz w:val="24"/>
                <w:szCs w:val="24"/>
                <w:highlight w:val="none"/>
                <w:lang w:bidi="ar"/>
              </w:rPr>
              <w:t>十四五</w:t>
            </w:r>
            <w:r>
              <w:rPr>
                <w:rFonts w:hint="eastAsia" w:ascii="Times New Roman" w:hAnsi="Times New Roman" w:cs="Times New Roman"/>
                <w:snapToGrid w:val="0"/>
                <w:color w:val="auto"/>
                <w:sz w:val="24"/>
                <w:szCs w:val="24"/>
                <w:highlight w:val="none"/>
                <w:lang w:eastAsia="zh-CN" w:bidi="ar"/>
              </w:rPr>
              <w:t>”</w:t>
            </w:r>
            <w:r>
              <w:rPr>
                <w:rFonts w:hint="default" w:ascii="Times New Roman" w:hAnsi="Times New Roman" w:eastAsia="宋体" w:cs="Times New Roman"/>
                <w:snapToGrid w:val="0"/>
                <w:color w:val="auto"/>
                <w:sz w:val="24"/>
                <w:szCs w:val="24"/>
                <w:highlight w:val="none"/>
                <w:lang w:bidi="ar"/>
              </w:rPr>
              <w:t>生态环境保护主要指标（排放总量）为氮氧化物、挥发性有机物、化学需氧量、氨氮。</w:t>
            </w:r>
          </w:p>
          <w:p w14:paraId="73377E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针对本项目的具体排污情况，结合本项目排污特征，建议申请总量控制指标</w:t>
            </w:r>
            <w:r>
              <w:rPr>
                <w:rFonts w:hint="eastAsia" w:cs="Times New Roman"/>
                <w:b w:val="0"/>
                <w:bCs/>
                <w:color w:val="auto"/>
                <w:sz w:val="24"/>
                <w:szCs w:val="24"/>
                <w:highlight w:val="none"/>
                <w:lang w:val="en-US" w:eastAsia="zh-CN"/>
              </w:rPr>
              <w:t>：非甲烷总烃</w:t>
            </w:r>
            <w:r>
              <w:rPr>
                <w:rFonts w:hint="eastAsia" w:cs="Times New Roman"/>
                <w:color w:val="auto"/>
                <w:sz w:val="24"/>
                <w:szCs w:val="24"/>
                <w:highlight w:val="none"/>
                <w:lang w:val="en-US" w:eastAsia="zh-CN"/>
              </w:rPr>
              <w:t>0.00075</w:t>
            </w:r>
            <w:r>
              <w:rPr>
                <w:rFonts w:hint="default" w:ascii="Times New Roman" w:hAnsi="Times New Roman" w:eastAsia="宋体" w:cs="Times New Roman"/>
                <w:color w:val="auto"/>
                <w:sz w:val="24"/>
                <w:szCs w:val="24"/>
                <w:highlight w:val="none"/>
                <w:lang w:val="en-US" w:eastAsia="zh-CN"/>
              </w:rPr>
              <w:t>t/a</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bidi="ar"/>
              </w:rPr>
              <w:t>化学需氧量</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0.266</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bidi="ar"/>
              </w:rPr>
              <w:t>、氨氮</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0.029</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w:t>
            </w:r>
          </w:p>
        </w:tc>
      </w:tr>
    </w:tbl>
    <w:p w14:paraId="28A1E0F8">
      <w:pPr>
        <w:pStyle w:val="23"/>
        <w:jc w:val="center"/>
        <w:outlineLvl w:val="0"/>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snapToGrid w:val="0"/>
          <w:color w:val="auto"/>
          <w:sz w:val="36"/>
          <w:szCs w:val="36"/>
          <w:highlight w:val="none"/>
        </w:rPr>
        <w:br w:type="page"/>
      </w:r>
      <w:r>
        <w:rPr>
          <w:rFonts w:hint="default" w:ascii="Times New Roman" w:hAnsi="Times New Roman" w:eastAsia="宋体" w:cs="Times New Roman"/>
          <w:snapToGrid w:val="0"/>
          <w:color w:val="auto"/>
          <w:sz w:val="30"/>
          <w:szCs w:val="30"/>
          <w:highlight w:val="none"/>
        </w:rPr>
        <w:t>四、主要环境影响和保护措施</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167"/>
      </w:tblGrid>
      <w:tr w14:paraId="5438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9" w:type="dxa"/>
            <w:noWrap w:val="0"/>
            <w:vAlign w:val="center"/>
          </w:tcPr>
          <w:p w14:paraId="2CF21A0E">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14:paraId="4BF3D14B">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14:paraId="4C00B7D3">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14:paraId="2FEB1D94">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color w:val="auto"/>
                <w:kern w:val="2"/>
                <w:sz w:val="24"/>
                <w:szCs w:val="24"/>
                <w:highlight w:val="none"/>
              </w:rPr>
              <w:t>护措施</w:t>
            </w:r>
          </w:p>
        </w:tc>
        <w:tc>
          <w:tcPr>
            <w:tcW w:w="8167" w:type="dxa"/>
            <w:noWrap w:val="0"/>
            <w:vAlign w:val="center"/>
          </w:tcPr>
          <w:p w14:paraId="59FACFCB">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根据现场勘探，本</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利用陕西省西咸新区沣西新城创新港 G 板块，四至范围为 CXG 东南二路以 东、创智路以北、CXG 东南三路以西地进行建设</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施工过程中产生</w:t>
            </w:r>
            <w:r>
              <w:rPr>
                <w:rFonts w:hint="default" w:ascii="Times New Roman" w:hAnsi="Times New Roman" w:eastAsia="宋体" w:cs="Times New Roman"/>
                <w:color w:val="auto"/>
                <w:sz w:val="24"/>
                <w:szCs w:val="24"/>
                <w:highlight w:val="none"/>
                <w:lang w:val="en-US" w:eastAsia="zh-CN"/>
              </w:rPr>
              <w:t>施工扬尘、装修废气及运输车辆尾气、生活污水和施工作业产生的废水、</w:t>
            </w:r>
            <w:r>
              <w:rPr>
                <w:rFonts w:hint="default" w:ascii="Times New Roman" w:hAnsi="Times New Roman" w:eastAsia="宋体" w:cs="Times New Roman"/>
                <w:color w:val="auto"/>
                <w:sz w:val="24"/>
                <w:szCs w:val="24"/>
                <w:highlight w:val="none"/>
                <w:lang w:eastAsia="zh-CN"/>
              </w:rPr>
              <w:t>噪声</w:t>
            </w:r>
            <w:r>
              <w:rPr>
                <w:rFonts w:hint="default" w:ascii="Times New Roman" w:hAnsi="Times New Roman" w:eastAsia="宋体" w:cs="Times New Roman"/>
                <w:color w:val="auto"/>
                <w:sz w:val="24"/>
                <w:szCs w:val="24"/>
                <w:highlight w:val="none"/>
                <w:lang w:val="en-US" w:eastAsia="zh-CN"/>
              </w:rPr>
              <w:t>、建筑垃圾和施工人员的生活垃圾</w:t>
            </w:r>
            <w:r>
              <w:rPr>
                <w:rFonts w:hint="default" w:ascii="Times New Roman" w:hAnsi="Times New Roman" w:eastAsia="宋体" w:cs="Times New Roman"/>
                <w:color w:val="auto"/>
                <w:sz w:val="24"/>
                <w:szCs w:val="24"/>
                <w:highlight w:val="none"/>
                <w:lang w:eastAsia="zh-CN"/>
              </w:rPr>
              <w:t>。</w:t>
            </w:r>
          </w:p>
          <w:p w14:paraId="45D2C9B7">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一、废气</w:t>
            </w:r>
          </w:p>
          <w:p w14:paraId="122F318E">
            <w:pPr>
              <w:keepNext w:val="0"/>
              <w:keepLines w:val="0"/>
              <w:widowControl w:val="0"/>
              <w:suppressLineNumbers w:val="0"/>
              <w:adjustRightInd w:val="0"/>
              <w:spacing w:before="0" w:beforeLines="0" w:beforeAutospacing="0" w:after="0" w:afterLines="0" w:afterAutospacing="0" w:line="360" w:lineRule="auto"/>
              <w:ind w:left="0" w:right="0" w:firstLine="424" w:firstLineChars="17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本项目施工期废气主要为施工扬尘、装修废气及运输车辆尾气。</w:t>
            </w:r>
          </w:p>
          <w:p w14:paraId="430A84EB">
            <w:pPr>
              <w:keepNext w:val="0"/>
              <w:keepLines w:val="0"/>
              <w:widowControl w:val="0"/>
              <w:suppressLineNumbers w:val="0"/>
              <w:adjustRightInd w:val="0"/>
              <w:spacing w:before="0" w:beforeLines="0" w:beforeAutospacing="0" w:after="0" w:afterLines="0" w:afterAutospacing="0" w:line="360" w:lineRule="auto"/>
              <w:ind w:left="0" w:right="0" w:firstLine="424" w:firstLineChars="17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（1）施工扬尘</w:t>
            </w:r>
          </w:p>
          <w:p w14:paraId="445AFD31">
            <w:pPr>
              <w:keepNext w:val="0"/>
              <w:keepLines w:val="0"/>
              <w:widowControl w:val="0"/>
              <w:suppressLineNumbers w:val="0"/>
              <w:adjustRightInd w:val="0"/>
              <w:spacing w:before="0" w:beforeLines="0" w:beforeAutospacing="0" w:after="0" w:afterLines="0" w:afterAutospacing="0" w:line="360" w:lineRule="auto"/>
              <w:ind w:left="0" w:right="0" w:firstLine="424" w:firstLineChars="17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施工期对区域大气环境的影响主要是扬尘污染，污染因子为TSP。</w:t>
            </w:r>
          </w:p>
          <w:p w14:paraId="3FDCBC6F">
            <w:pPr>
              <w:keepNext w:val="0"/>
              <w:keepLines w:val="0"/>
              <w:widowControl w:val="0"/>
              <w:suppressLineNumbers w:val="0"/>
              <w:adjustRightInd w:val="0"/>
              <w:spacing w:before="0" w:beforeLines="0" w:beforeAutospacing="0" w:after="0" w:afterLines="0" w:afterAutospacing="0" w:line="360" w:lineRule="auto"/>
              <w:ind w:left="0" w:right="0" w:firstLine="424" w:firstLineChars="17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在施工过程中粉尘和扬尘污染主要来源于施工机械挖掘土方、堆放土方和土方回填时产生的扬尘；运输车辆造成的二次扬尘。</w:t>
            </w:r>
          </w:p>
          <w:p w14:paraId="5E0566C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根据《西安市人民政府办公厅关于印发西安市控制扬尘污染的实施方案的通知》及其他要求</w:t>
            </w:r>
            <w:r>
              <w:rPr>
                <w:rFonts w:hint="eastAsia" w:cs="Times New Roman"/>
                <w:color w:val="auto"/>
                <w:sz w:val="24"/>
                <w:szCs w:val="24"/>
                <w:highlight w:val="none"/>
                <w:lang w:val="en-US" w:eastAsia="zh-CN"/>
              </w:rPr>
              <w:t>、《关于修订“禁土令”并强化建筑工地施工扬尘管控的通知》及相关要求</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施工期扬尘采取以下措施</w:t>
            </w:r>
            <w:r>
              <w:rPr>
                <w:rFonts w:hint="default" w:ascii="Times New Roman" w:hAnsi="Times New Roman" w:eastAsia="宋体" w:cs="Times New Roman"/>
                <w:color w:val="auto"/>
                <w:sz w:val="24"/>
                <w:szCs w:val="24"/>
                <w:highlight w:val="none"/>
                <w:lang w:eastAsia="zh-CN"/>
              </w:rPr>
              <w:t>：</w:t>
            </w:r>
          </w:p>
          <w:p w14:paraId="4821A9F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①启动黄色（Ⅲ级响应）及以上预警期间，除地铁项目和市政抢修、抢险工程外的建筑施工工地停止喷涂粉刷、护坡喷浆、建筑拆除、切割、土石方等施工作业，加大对施工工地、裸露地面、物料堆放等场所扬尘控制力度；启动橙色（Ⅱ级响应）及以上预警期间，建筑施工工地停止室外作业，建筑垃圾、渣土、砂石运输车辆禁止上路行驶。</w:t>
            </w:r>
          </w:p>
          <w:p w14:paraId="6BD8738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②渣土车须完成密闭化改装改造，达到运输过程无扬尘、无遗漏、无抛洒要求，未达到改造升级要求的渣土车辆不得从事渣土运输活动。</w:t>
            </w:r>
          </w:p>
          <w:p w14:paraId="596B95B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施工方应做好扬尘防护工作，文明施工，建筑材料轻装轻卸，工地不准裸露野蛮施工；</w:t>
            </w:r>
          </w:p>
          <w:p w14:paraId="52AF54D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施工周边必须设置1.8米以上的硬质围墙或围挡，严禁敞开式作业。要采取洒水、覆盖等防尘措施，定期对围挡落尘进行清洗，保证施工工地周围环境整洁。</w:t>
            </w:r>
          </w:p>
          <w:p w14:paraId="3A7C0D4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val="en-US" w:eastAsia="zh-CN"/>
              </w:rPr>
              <w:t>禁止在大风天气情况下进行土石方挖填、渣土装卸等作业，开挖出的土石方应加强围挡，表面用苫布覆盖；</w:t>
            </w:r>
          </w:p>
          <w:p w14:paraId="4C2C8CE7">
            <w:pPr>
              <w:keepNext w:val="0"/>
              <w:keepLines w:val="0"/>
              <w:widowControl w:val="0"/>
              <w:suppressLineNumbers w:val="0"/>
              <w:adjustRightInd w:val="0"/>
              <w:snapToGrid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val="en-US" w:eastAsia="zh-CN"/>
              </w:rPr>
              <w:t>施工结束后，应尽早对场区内的裸露地面进行绿化工作，减少扬尘的产生量。可选取栽种易存活、好管理的本地品种，尽可能增大场区内、外的绿化面积；</w:t>
            </w:r>
          </w:p>
          <w:p w14:paraId="70E35DC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⑦</w:t>
            </w:r>
            <w:r>
              <w:rPr>
                <w:rFonts w:hint="default" w:ascii="Times New Roman" w:hAnsi="Times New Roman" w:eastAsia="宋体" w:cs="Times New Roman"/>
                <w:color w:val="auto"/>
                <w:sz w:val="24"/>
                <w:szCs w:val="24"/>
                <w:highlight w:val="none"/>
                <w:lang w:val="en-US" w:eastAsia="zh-CN"/>
              </w:rPr>
              <w:t>施工现场必须配齐工作人员定期对施工运输路面洒水，并对撒落在路面的渣土及时清除，清理阶段做到先洒水后清扫。</w:t>
            </w:r>
          </w:p>
          <w:p w14:paraId="58E6628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⑧</w:t>
            </w:r>
            <w:r>
              <w:rPr>
                <w:rFonts w:hint="default" w:ascii="Times New Roman" w:hAnsi="Times New Roman" w:eastAsia="宋体" w:cs="Times New Roman"/>
                <w:color w:val="auto"/>
                <w:sz w:val="24"/>
                <w:szCs w:val="24"/>
                <w:highlight w:val="none"/>
                <w:lang w:val="en-US" w:eastAsia="zh-CN"/>
              </w:rPr>
              <w:t>所有建设施工工地出入口必须进行净化处理，并配备专门的清洗设备和人员，车体和车轮带有</w:t>
            </w:r>
            <w:r>
              <w:rPr>
                <w:rFonts w:hint="eastAsia" w:cs="Times New Roman"/>
                <w:color w:val="auto"/>
                <w:sz w:val="24"/>
                <w:szCs w:val="24"/>
                <w:highlight w:val="none"/>
                <w:lang w:val="en-US" w:eastAsia="zh-CN"/>
              </w:rPr>
              <w:t>泥土</w:t>
            </w:r>
            <w:r>
              <w:rPr>
                <w:rFonts w:hint="default" w:ascii="Times New Roman" w:hAnsi="Times New Roman" w:eastAsia="宋体" w:cs="Times New Roman"/>
                <w:color w:val="auto"/>
                <w:sz w:val="24"/>
                <w:szCs w:val="24"/>
                <w:highlight w:val="none"/>
                <w:lang w:val="en-US" w:eastAsia="zh-CN"/>
              </w:rPr>
              <w:t>的车辆不得驶出工地。</w:t>
            </w:r>
          </w:p>
          <w:p w14:paraId="72147265">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⑨</w:t>
            </w:r>
            <w:r>
              <w:rPr>
                <w:rFonts w:hint="default" w:ascii="Times New Roman" w:hAnsi="Times New Roman" w:eastAsia="宋体" w:cs="Times New Roman"/>
                <w:color w:val="auto"/>
                <w:sz w:val="24"/>
                <w:szCs w:val="24"/>
                <w:highlight w:val="none"/>
                <w:lang w:val="en-US" w:eastAsia="zh-CN"/>
              </w:rPr>
              <w:t>汽车来往造成的现场道路扬尘采取措施：施工场地对施工车辆必须实施限速行驶，运输车辆出场时必须封闭，其中入场的粉粒料使用封闭车辆装运，出场的建筑垃圾全部加盖篷布并拉紧、盖严。同时在施工场地出口放置防尘垫，不准运渣车辆冒顶装载，自卸车、垃圾运输车等运输车辆不允许超载；在施工场地进出口设置简易冲洗设施，进入已硬化路面前的所有运输车辆必须清洗车体和轮胎，不准车辆带泥出门。</w:t>
            </w:r>
          </w:p>
          <w:p w14:paraId="09C7C28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⑩</w:t>
            </w:r>
            <w:r>
              <w:rPr>
                <w:rFonts w:hint="default" w:ascii="Times New Roman" w:hAnsi="Times New Roman" w:eastAsia="宋体" w:cs="Times New Roman"/>
                <w:color w:val="auto"/>
                <w:sz w:val="24"/>
                <w:szCs w:val="24"/>
                <w:highlight w:val="none"/>
                <w:lang w:val="en-US" w:eastAsia="zh-CN"/>
              </w:rPr>
              <w:t>施工工地出入口必须设立环境保护监督栏（牌）。其内容包括：项目名称，建设单位、施工单位、施工工期、举报电话、防治扬尘污染现场监督员姓名及有关防尘措施等内容。</w:t>
            </w:r>
          </w:p>
          <w:p w14:paraId="658B10A1">
            <w:pPr>
              <w:keepNext w:val="0"/>
              <w:keepLines w:val="0"/>
              <w:widowControl w:val="0"/>
              <w:suppressLineNumbers w:val="0"/>
              <w:adjustRightInd w:val="0"/>
              <w:spacing w:before="0" w:beforeLines="0" w:beforeAutospacing="0" w:after="0" w:afterLines="0" w:afterAutospacing="0" w:line="360" w:lineRule="auto"/>
              <w:ind w:left="0" w:right="0" w:firstLine="424" w:firstLineChars="177"/>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（2）装修废气</w:t>
            </w:r>
          </w:p>
          <w:p w14:paraId="3552C5E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评要求装修时使用水性涂料等绿色装修材料，环保油漆、涂料等。特别是油漆、涂料等装修材料的选取应按照国家质检总局颁布的《室内装修材料10项有害物质限量》规定进行，严格控制室内甲醛、苯系物等挥发性有机物，使各项污染物的指标达到《室内空气质量标准》（GB/T18883-2002）及《民用建筑工程室内环境污染控制规范》限值要求，避免对室内环境造成污染。要求装修期间物业部门加强管理，起到切实的监督作用，装修废气间断存在，分散排放，其污染物苯系物在同一时间段的排放量不大，在一定程度上减小对周围环境的影响。</w:t>
            </w:r>
          </w:p>
          <w:p w14:paraId="0E965945">
            <w:pPr>
              <w:keepNext w:val="0"/>
              <w:keepLines w:val="0"/>
              <w:widowControl w:val="0"/>
              <w:suppressLineNumbers w:val="0"/>
              <w:adjustRightInd w:val="0"/>
              <w:spacing w:before="0" w:beforeLines="0" w:beforeAutospacing="0" w:after="0" w:afterLines="0" w:afterAutospacing="0" w:line="360" w:lineRule="auto"/>
              <w:ind w:left="0" w:right="0" w:firstLine="424" w:firstLineChars="177"/>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（3）尾气</w:t>
            </w:r>
          </w:p>
          <w:p w14:paraId="7E18BFF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施工过程中严格遵守《西安市机动车和非道路移动机械排气污染防治条例》中相关要求，且此部分废气排放量不大，间歇排放，场地扩散条件较好，影响范围有限，对区域环境空气质量影响较小。</w:t>
            </w:r>
          </w:p>
          <w:p w14:paraId="2A109BFF">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eastAsia="zh-CN"/>
              </w:rPr>
              <w:t>噪声</w:t>
            </w:r>
          </w:p>
          <w:p w14:paraId="32F091DC">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为了减轻本项目施工期噪声的环境影响，施工方应做好相应防噪措施，确保施工场界噪声符合《建筑施工场界环境噪声排放标准》（GB12523-2011)要求，本评价建议项目施工时可采用如下控制措施：</w:t>
            </w:r>
          </w:p>
          <w:p w14:paraId="5AC3370F">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①合理布局施工现场。合理安排施工方式，控制环境噪声污染，避免在同一地点同时安排大量机械设备，以免局部声级过高；</w:t>
            </w:r>
          </w:p>
          <w:p w14:paraId="5F420B87">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采取降噪措施。在施工设备的选型上尽量采用低噪音设备，可通过消音器和隔离发动机振动部件的方法降低噪声固定设备噪声。加强对设备的维护、养护，闲置设备应立即关闭。尽可能采用外加工材料，减少现场加工的工作量；</w:t>
            </w:r>
          </w:p>
          <w:p w14:paraId="1282E94D">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③降低人为噪声影响。按操作规范操作机械设备等过程中减少碰撞噪声，并对工人进行环保方面的教育。在装卸过程中，禁止野蛮作业，减少作业噪声；</w:t>
            </w:r>
          </w:p>
          <w:p w14:paraId="4DED75C9">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④合理安排施工时间。禁止在中午（12:00-14:00）和夜间（22:00-8:00）施工，建设单位应加强协调，规范施工行为，制定施工计划。应尽可能避免大量噪声设备；</w:t>
            </w:r>
          </w:p>
          <w:p w14:paraId="26C5281D">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⑤将</w:t>
            </w:r>
            <w:r>
              <w:rPr>
                <w:rFonts w:hint="eastAsia" w:ascii="Times New Roman" w:hAnsi="Times New Roman" w:eastAsia="宋体" w:cs="Times New Roman"/>
                <w:color w:val="auto"/>
                <w:sz w:val="24"/>
                <w:szCs w:val="24"/>
                <w:highlight w:val="none"/>
                <w:lang w:val="en-US" w:eastAsia="zh-CN"/>
              </w:rPr>
              <w:t>施工机械尽</w:t>
            </w:r>
            <w:r>
              <w:rPr>
                <w:rFonts w:hint="eastAsia" w:cs="Times New Roman"/>
                <w:color w:val="auto"/>
                <w:sz w:val="24"/>
                <w:szCs w:val="24"/>
                <w:highlight w:val="none"/>
                <w:lang w:val="en-US" w:eastAsia="zh-CN"/>
              </w:rPr>
              <w:t>可能远离敏感目标，以减少噪声对居民的影响。</w:t>
            </w:r>
          </w:p>
          <w:p w14:paraId="5EFFFA69">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⑥在不影响施工情况下将噪声 设备尽量不集中安排，并将其移至距离居民住宅等敏感点较远处，对位 置相对固定的机械设备，能设在隔声棚内操作的尽量进入隔声棚，隔声 棚的墙高度应超过设备 1.5m 以上，墙宽度要使噪声敏感点阻隔在噪声发 射角以外，顶部可用双层石棉瓦加盖；对不能入棚的机械设备，可适当 建立单面声屏障，声屏障可选用砖石料、混凝土、木材、金属、轻型多 孔吸声复合材料建造，当采用木材、多孔吸声材料时，应做防火、防腐 处理，以减少噪声对敏感目标的影响。</w:t>
            </w:r>
          </w:p>
          <w:p w14:paraId="299C6ECB">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⑦</w:t>
            </w:r>
            <w:r>
              <w:rPr>
                <w:rFonts w:hint="default" w:ascii="Times New Roman" w:hAnsi="Times New Roman" w:eastAsia="宋体" w:cs="Times New Roman"/>
                <w:color w:val="auto"/>
                <w:sz w:val="24"/>
                <w:szCs w:val="24"/>
                <w:highlight w:val="none"/>
                <w:lang w:val="en-US" w:eastAsia="zh-CN"/>
              </w:rPr>
              <w:t>加强劳动保护。施工单位对在高噪声区工作的施工人员作好劳动保护，采取佩戴隔声耳罩等措施降低噪声对人体的影响。</w:t>
            </w:r>
          </w:p>
          <w:p w14:paraId="4891116C">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三、废水</w:t>
            </w:r>
          </w:p>
          <w:p w14:paraId="5D2181B2">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施工过程中产生的废水主要为施工人员排放的生活污水和施工作业产生的废水，施工期间无施工营地。</w:t>
            </w:r>
          </w:p>
          <w:p w14:paraId="3F752CFB">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针对施工期产生的废水采取如下措施：</w:t>
            </w:r>
          </w:p>
          <w:p w14:paraId="1D75B026">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（1）加强施工管理，施工期施工人员排放的生活污水排入施工场地设置的临时旱厕，定期清掏</w:t>
            </w:r>
            <w:r>
              <w:rPr>
                <w:rFonts w:hint="default" w:ascii="Times New Roman" w:hAnsi="Times New Roman" w:eastAsia="宋体" w:cs="Times New Roman"/>
                <w:color w:val="auto"/>
                <w:sz w:val="24"/>
                <w:szCs w:val="24"/>
                <w:highlight w:val="none"/>
                <w:lang w:val="en-US" w:eastAsia="zh-CN"/>
              </w:rPr>
              <w:t>。</w:t>
            </w:r>
          </w:p>
          <w:p w14:paraId="18BC8ED1">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（2）施工废水经过临时沉淀池沉淀后回用于施工、场地洒水等过程，废水不外排。在施工过程中应加强对机械设备的检修，以防止设备漏油现象的发生。</w:t>
            </w:r>
          </w:p>
          <w:p w14:paraId="77C38D71">
            <w:pPr>
              <w:keepNext w:val="0"/>
              <w:keepLines w:val="0"/>
              <w:numPr>
                <w:ilvl w:val="0"/>
                <w:numId w:val="0"/>
              </w:numPr>
              <w:suppressLineNumbers w:val="0"/>
              <w:shd w:val="clear" w:color="auto" w:fill="auto"/>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四、固体废物</w:t>
            </w:r>
          </w:p>
          <w:p w14:paraId="18EAE963">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color w:val="auto"/>
                <w:sz w:val="24"/>
                <w:szCs w:val="24"/>
                <w:highlight w:val="none"/>
                <w:lang w:val="en-US" w:eastAsia="zh-CN"/>
              </w:rPr>
              <w:t>施工期固体废物主要来自建筑垃圾和施工人员的生活垃圾。施工过程产生建筑垃圾量较少，可回收部分出售给回收公司，不可回收部分运送至指定场所妥善处置。施工人员生活垃圾统一收集后由环卫部门定期清运</w:t>
            </w:r>
            <w:r>
              <w:rPr>
                <w:rFonts w:hint="default" w:ascii="Times New Roman" w:hAnsi="Times New Roman" w:eastAsia="宋体" w:cs="Times New Roman"/>
                <w:color w:val="auto"/>
                <w:highlight w:val="none"/>
              </w:rPr>
              <w:t>。</w:t>
            </w:r>
          </w:p>
        </w:tc>
      </w:tr>
    </w:tbl>
    <w:p w14:paraId="1D2AF2F9">
      <w:pPr>
        <w:keepNext w:val="0"/>
        <w:keepLines w:val="0"/>
        <w:pageBreakBefore w:val="0"/>
        <w:kinsoku/>
        <w:wordWrap/>
        <w:overflowPunct/>
        <w:topLinePunct w:val="0"/>
        <w:autoSpaceDE/>
        <w:autoSpaceDN/>
        <w:bidi w:val="0"/>
        <w:adjustRightInd/>
        <w:snapToGrid/>
        <w:spacing w:line="240" w:lineRule="auto"/>
        <w:jc w:val="both"/>
        <w:textAlignment w:val="auto"/>
        <w:rPr>
          <w:rFonts w:hint="default"/>
          <w:color w:val="auto"/>
          <w:highlight w:val="none"/>
        </w:rPr>
        <w:sectPr>
          <w:pgSz w:w="11907" w:h="16840"/>
          <w:pgMar w:top="1417" w:right="1531" w:bottom="1417"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Cs/>
          <w:color w:val="auto"/>
          <w:sz w:val="24"/>
          <w:szCs w:val="24"/>
          <w:highlight w:val="none"/>
        </w:rPr>
        <w:br w:type="page"/>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167"/>
      </w:tblGrid>
      <w:tr w14:paraId="062F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1" w:hRule="atLeast"/>
          <w:jc w:val="center"/>
        </w:trPr>
        <w:tc>
          <w:tcPr>
            <w:tcW w:w="739" w:type="dxa"/>
            <w:noWrap w:val="0"/>
            <w:vAlign w:val="center"/>
          </w:tcPr>
          <w:p w14:paraId="6A2BC8F5">
            <w:pPr>
              <w:pStyle w:val="3"/>
              <w:suppressLineNumbers w:val="0"/>
              <w:spacing w:beforeAutospacing="0" w:afterAutospacing="0"/>
              <w:ind w:left="0" w:right="0"/>
              <w:rPr>
                <w:rFonts w:hint="default"/>
                <w:color w:val="auto"/>
                <w:highlight w:val="none"/>
              </w:rPr>
            </w:pPr>
          </w:p>
          <w:p w14:paraId="600033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3F9559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3A0480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6220A7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176B7A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203057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3A2B1B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6C73F4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484BEF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52AF13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3CAD4D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55AB1D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p>
          <w:p w14:paraId="0427FB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072FD6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0FDBA7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4EE5E0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509BF4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bCs/>
                <w:color w:val="auto"/>
                <w:sz w:val="24"/>
                <w:szCs w:val="24"/>
                <w:highlight w:val="none"/>
              </w:rPr>
              <w:t>保护措施</w:t>
            </w:r>
          </w:p>
        </w:tc>
        <w:tc>
          <w:tcPr>
            <w:tcW w:w="8167" w:type="dxa"/>
            <w:noWrap w:val="0"/>
            <w:vAlign w:val="center"/>
          </w:tcPr>
          <w:p w14:paraId="4C59B336">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大气环境影响分析</w:t>
            </w:r>
          </w:p>
          <w:p w14:paraId="604F230E">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contextualSpacing/>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highlight w:val="none"/>
                <w:lang w:val="en-US" w:eastAsia="zh-CN"/>
              </w:rPr>
              <w:t>本</w:t>
            </w:r>
            <w:r>
              <w:rPr>
                <w:rFonts w:hint="default" w:ascii="Times New Roman" w:hAnsi="Times New Roman" w:eastAsia="宋体" w:cs="Times New Roman"/>
                <w:color w:val="auto"/>
                <w:spacing w:val="0"/>
                <w:sz w:val="24"/>
                <w:highlight w:val="none"/>
              </w:rPr>
              <w:t>项目运营期产生的废气主要</w:t>
            </w:r>
            <w:r>
              <w:rPr>
                <w:rFonts w:hint="default" w:ascii="Times New Roman" w:hAnsi="Times New Roman" w:eastAsia="宋体" w:cs="Times New Roman"/>
                <w:color w:val="auto"/>
                <w:spacing w:val="0"/>
                <w:sz w:val="24"/>
                <w:szCs w:val="24"/>
                <w:highlight w:val="none"/>
              </w:rPr>
              <w:t>为</w:t>
            </w:r>
            <w:r>
              <w:rPr>
                <w:rFonts w:hint="eastAsia" w:cs="Times New Roman"/>
                <w:color w:val="auto"/>
                <w:spacing w:val="0"/>
                <w:sz w:val="24"/>
                <w:szCs w:val="24"/>
                <w:highlight w:val="none"/>
                <w:lang w:val="en-US" w:eastAsia="zh-CN"/>
              </w:rPr>
              <w:t>焊接烟尘及实验室废气</w:t>
            </w:r>
            <w:r>
              <w:rPr>
                <w:rFonts w:hint="default" w:ascii="Times New Roman" w:hAnsi="Times New Roman" w:eastAsia="宋体" w:cs="Times New Roman"/>
                <w:color w:val="auto"/>
                <w:spacing w:val="0"/>
                <w:sz w:val="24"/>
                <w:szCs w:val="24"/>
                <w:highlight w:val="none"/>
              </w:rPr>
              <w:t>。</w:t>
            </w:r>
          </w:p>
          <w:p w14:paraId="2006F89E">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contextualSpacing/>
              <w:jc w:val="both"/>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（1）污染物源强及达标分析</w:t>
            </w:r>
          </w:p>
          <w:p w14:paraId="32EE68E4">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outlineLvl w:val="9"/>
              <w:rPr>
                <w:rFonts w:hint="default" w:cs="Times New Roman"/>
                <w:color w:val="auto"/>
                <w:kern w:val="0"/>
                <w:sz w:val="24"/>
                <w:szCs w:val="24"/>
                <w:highlight w:val="none"/>
                <w:lang w:val="en-US" w:eastAsia="zh-CN" w:bidi="ar"/>
              </w:rPr>
            </w:pPr>
            <w:r>
              <w:rPr>
                <w:rFonts w:hint="default" w:ascii="Times New Roman" w:hAnsi="Times New Roman" w:eastAsia="宋体" w:cs="Times New Roman"/>
                <w:color w:val="auto"/>
                <w:spacing w:val="0"/>
                <w:sz w:val="24"/>
                <w:szCs w:val="24"/>
                <w:highlight w:val="none"/>
                <w:lang w:val="en-US" w:eastAsia="zh-CN"/>
              </w:rPr>
              <w:t>①</w:t>
            </w:r>
            <w:r>
              <w:rPr>
                <w:rFonts w:hint="eastAsia" w:cs="Times New Roman"/>
                <w:color w:val="auto"/>
                <w:spacing w:val="0"/>
                <w:sz w:val="24"/>
                <w:szCs w:val="24"/>
                <w:highlight w:val="none"/>
                <w:lang w:val="en-US" w:eastAsia="zh-CN"/>
              </w:rPr>
              <w:t>焊接烟尘</w:t>
            </w:r>
          </w:p>
          <w:p w14:paraId="6D623B49">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采用真空等离子氩弧焊机，焊接方式为钨极氩弧点焊，该焊接工艺不使用焊丝或焊条，点焊过程中焊接材料为钨极。点焊工艺通电后焊接时间极短，平均每天焊接作业时间按0.2h，点焊过程中钨极不熔化，但是会发生损耗，损耗部分转化为焊接烟尘，本项目钨针用量10kg/a，最不利状况下，钨针全部发生损耗，则焊接烟尘最大产生量为10kg/a，产生量较小，真空等离子弧焊机自带焊接烟尘净化器处理后在车间内无组织排放，处理效率按80%计，无组织排放量为0.002t/a，0.033kg/h。</w:t>
            </w:r>
          </w:p>
          <w:p w14:paraId="289245D9">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contextualSpacing/>
              <w:jc w:val="both"/>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kern w:val="0"/>
                <w:sz w:val="24"/>
                <w:szCs w:val="24"/>
                <w:highlight w:val="none"/>
                <w:lang w:val="en-US" w:eastAsia="zh-CN" w:bidi="ar"/>
              </w:rPr>
              <w:t>②</w:t>
            </w:r>
            <w:r>
              <w:rPr>
                <w:rFonts w:hint="eastAsia" w:cs="Times New Roman"/>
                <w:color w:val="auto"/>
                <w:spacing w:val="0"/>
                <w:sz w:val="24"/>
                <w:szCs w:val="24"/>
                <w:highlight w:val="none"/>
                <w:lang w:val="en-US" w:eastAsia="zh-CN"/>
              </w:rPr>
              <w:t>实验室废气</w:t>
            </w:r>
          </w:p>
          <w:p w14:paraId="63013C4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本项目实验过程中会使用乙醚、无水乙醇、盐酸、硫酸、硝酸、磷酸、氢氟酸等试剂，会</w:t>
            </w:r>
            <w:r>
              <w:rPr>
                <w:rFonts w:hint="eastAsia" w:cs="Times New Roman"/>
                <w:color w:val="auto"/>
                <w:kern w:val="0"/>
                <w:sz w:val="24"/>
                <w:szCs w:val="24"/>
                <w:highlight w:val="none"/>
                <w:lang w:val="en-US" w:eastAsia="zh-CN" w:bidi="ar"/>
              </w:rPr>
              <w:t>产生氯化氢、硫酸雾、氟化物、氮氧化物及非甲烷总烃</w:t>
            </w:r>
            <w:r>
              <w:rPr>
                <w:rFonts w:hint="default" w:ascii="Times New Roman" w:hAnsi="Times New Roman" w:eastAsia="宋体" w:cs="Times New Roman"/>
                <w:color w:val="auto"/>
                <w:kern w:val="0"/>
                <w:sz w:val="24"/>
                <w:szCs w:val="24"/>
                <w:highlight w:val="none"/>
                <w:lang w:val="en-US" w:eastAsia="zh-CN" w:bidi="ar"/>
              </w:rPr>
              <w:t>。实验室废气经</w:t>
            </w:r>
            <w:r>
              <w:rPr>
                <w:rFonts w:hint="eastAsia" w:cs="Times New Roman"/>
                <w:color w:val="auto"/>
                <w:kern w:val="0"/>
                <w:sz w:val="24"/>
                <w:szCs w:val="24"/>
                <w:highlight w:val="none"/>
                <w:lang w:val="en-US" w:eastAsia="zh-CN" w:bidi="ar"/>
              </w:rPr>
              <w:t>通风橱+碱式喷淋塔+二级活性炭吸附装置</w:t>
            </w:r>
            <w:r>
              <w:rPr>
                <w:rFonts w:hint="default" w:ascii="Times New Roman" w:hAnsi="Times New Roman" w:eastAsia="宋体" w:cs="Times New Roman"/>
                <w:color w:val="auto"/>
                <w:kern w:val="0"/>
                <w:sz w:val="24"/>
                <w:szCs w:val="24"/>
                <w:highlight w:val="none"/>
                <w:lang w:val="en-US" w:eastAsia="zh-CN" w:bidi="ar"/>
              </w:rPr>
              <w:t>处理后由41米高排气筒DA001排放</w:t>
            </w:r>
            <w:r>
              <w:rPr>
                <w:rFonts w:hint="eastAsia" w:cs="Times New Roman"/>
                <w:color w:val="auto"/>
                <w:kern w:val="0"/>
                <w:sz w:val="24"/>
                <w:szCs w:val="24"/>
                <w:highlight w:val="none"/>
                <w:lang w:val="en-US" w:eastAsia="zh-CN" w:bidi="ar"/>
              </w:rPr>
              <w:t>。</w:t>
            </w:r>
          </w:p>
          <w:p w14:paraId="66B6329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a.</w:t>
            </w:r>
            <w:r>
              <w:rPr>
                <w:rFonts w:hint="eastAsia" w:cs="Times New Roman"/>
                <w:color w:val="auto"/>
                <w:kern w:val="0"/>
                <w:sz w:val="24"/>
                <w:szCs w:val="24"/>
                <w:highlight w:val="none"/>
                <w:lang w:val="en-US" w:eastAsia="zh-CN" w:bidi="ar"/>
              </w:rPr>
              <w:t>氯化氢、硫酸雾、氟化物</w:t>
            </w:r>
          </w:p>
          <w:p w14:paraId="15AB171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项目实验室盐酸、硫酸</w:t>
            </w:r>
            <w:r>
              <w:rPr>
                <w:rFonts w:hint="eastAsia" w:cs="Times New Roman"/>
                <w:b w:val="0"/>
                <w:bCs/>
                <w:color w:val="auto"/>
                <w:sz w:val="24"/>
                <w:szCs w:val="24"/>
                <w:highlight w:val="none"/>
                <w:lang w:val="en-US" w:eastAsia="zh-CN"/>
              </w:rPr>
              <w:t>、氢氟酸</w:t>
            </w:r>
            <w:r>
              <w:rPr>
                <w:rFonts w:hint="default" w:ascii="Times New Roman" w:hAnsi="Times New Roman" w:eastAsia="宋体" w:cs="Times New Roman"/>
                <w:b w:val="0"/>
                <w:bCs/>
                <w:color w:val="auto"/>
                <w:sz w:val="24"/>
                <w:szCs w:val="24"/>
                <w:highlight w:val="none"/>
                <w:lang w:val="en-US" w:eastAsia="zh-CN"/>
              </w:rPr>
              <w:t>使用过程中会产生氯化氢</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硫酸雾</w:t>
            </w:r>
            <w:r>
              <w:rPr>
                <w:rFonts w:hint="eastAsia" w:cs="Times New Roman"/>
                <w:b w:val="0"/>
                <w:bCs/>
                <w:color w:val="auto"/>
                <w:sz w:val="24"/>
                <w:szCs w:val="24"/>
                <w:highlight w:val="none"/>
                <w:lang w:val="en-US" w:eastAsia="zh-CN"/>
              </w:rPr>
              <w:t>及氟化物</w:t>
            </w:r>
            <w:r>
              <w:rPr>
                <w:rFonts w:hint="default" w:ascii="Times New Roman" w:hAnsi="Times New Roman" w:eastAsia="宋体" w:cs="Times New Roman"/>
                <w:b w:val="0"/>
                <w:bCs/>
                <w:color w:val="auto"/>
                <w:sz w:val="24"/>
                <w:szCs w:val="24"/>
                <w:highlight w:val="none"/>
                <w:lang w:val="en-US" w:eastAsia="zh-CN"/>
              </w:rPr>
              <w:t>，酸性废气的挥发量参照《环境统计手册》（方品贤等著）液体（除水以外）蒸发量计算公式进行计算，其公式如下：</w:t>
            </w:r>
          </w:p>
          <w:p w14:paraId="347C7D4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G</w:t>
            </w:r>
            <w:r>
              <w:rPr>
                <w:rFonts w:hint="default" w:ascii="Times New Roman" w:hAnsi="Times New Roman" w:eastAsia="宋体" w:cs="Times New Roman"/>
                <w:b w:val="0"/>
                <w:bCs/>
                <w:color w:val="auto"/>
                <w:sz w:val="24"/>
                <w:szCs w:val="24"/>
                <w:highlight w:val="none"/>
                <w:vertAlign w:val="subscript"/>
                <w:lang w:val="en-US" w:eastAsia="zh-CN"/>
              </w:rPr>
              <w:t>z</w:t>
            </w:r>
            <w:r>
              <w:rPr>
                <w:rFonts w:hint="default" w:ascii="Times New Roman" w:hAnsi="Times New Roman" w:eastAsia="宋体" w:cs="Times New Roman"/>
                <w:b w:val="0"/>
                <w:bCs/>
                <w:color w:val="auto"/>
                <w:sz w:val="24"/>
                <w:szCs w:val="24"/>
                <w:highlight w:val="none"/>
                <w:lang w:val="en-US" w:eastAsia="zh-CN"/>
              </w:rPr>
              <w:t>=M（0.000352+0.000786V）P·F</w:t>
            </w:r>
          </w:p>
          <w:p w14:paraId="6D241F7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式中，G</w:t>
            </w:r>
            <w:r>
              <w:rPr>
                <w:rFonts w:hint="default" w:ascii="Times New Roman" w:hAnsi="Times New Roman" w:eastAsia="宋体" w:cs="Times New Roman"/>
                <w:b w:val="0"/>
                <w:bCs/>
                <w:color w:val="auto"/>
                <w:sz w:val="24"/>
                <w:szCs w:val="24"/>
                <w:highlight w:val="none"/>
                <w:vertAlign w:val="subscript"/>
                <w:lang w:val="en-US" w:eastAsia="zh-CN"/>
              </w:rPr>
              <w:t>z</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液体的蒸发量，kg/h；</w:t>
            </w:r>
          </w:p>
          <w:p w14:paraId="069785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M</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液体溶质的分子量；（盐酸分子量为36.5，硫酸分子量为98</w:t>
            </w:r>
            <w:r>
              <w:rPr>
                <w:rFonts w:hint="eastAsia" w:cs="Times New Roman"/>
                <w:b w:val="0"/>
                <w:bCs/>
                <w:color w:val="auto"/>
                <w:sz w:val="24"/>
                <w:szCs w:val="24"/>
                <w:highlight w:val="none"/>
                <w:lang w:val="en-US" w:eastAsia="zh-CN"/>
              </w:rPr>
              <w:t>，氢氟酸</w:t>
            </w:r>
            <w:r>
              <w:rPr>
                <w:rFonts w:hint="default" w:ascii="Times New Roman" w:hAnsi="Times New Roman" w:eastAsia="宋体" w:cs="Times New Roman"/>
                <w:b w:val="0"/>
                <w:bCs/>
                <w:color w:val="auto"/>
                <w:sz w:val="24"/>
                <w:szCs w:val="24"/>
                <w:highlight w:val="none"/>
                <w:lang w:val="en-US" w:eastAsia="zh-CN"/>
              </w:rPr>
              <w:t>分子量为</w:t>
            </w:r>
            <w:r>
              <w:rPr>
                <w:rFonts w:hint="eastAsia" w:cs="Times New Roman"/>
                <w:b w:val="0"/>
                <w:bCs/>
                <w:color w:val="auto"/>
                <w:sz w:val="24"/>
                <w:szCs w:val="24"/>
                <w:highlight w:val="none"/>
                <w:lang w:val="en-US" w:eastAsia="zh-CN"/>
              </w:rPr>
              <w:t>20.01</w:t>
            </w:r>
            <w:r>
              <w:rPr>
                <w:rFonts w:hint="default" w:ascii="Times New Roman" w:hAnsi="Times New Roman" w:eastAsia="宋体" w:cs="Times New Roman"/>
                <w:b w:val="0"/>
                <w:bCs/>
                <w:color w:val="auto"/>
                <w:sz w:val="24"/>
                <w:szCs w:val="24"/>
                <w:highlight w:val="none"/>
                <w:lang w:val="en-US" w:eastAsia="zh-CN"/>
              </w:rPr>
              <w:t>）；</w:t>
            </w:r>
          </w:p>
          <w:p w14:paraId="1FD59E5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V</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蒸发液体表面上的空气流速，m/s，一般可取0.2-0.5，本项目取0.3m/s；</w:t>
            </w:r>
          </w:p>
          <w:p w14:paraId="6A8D2AC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P</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相应液体温度下的空气中蒸汽压，mmHg。根据《大气环境工程师实用手册》（王玉彬主编）可知，本项目盐酸、硫酸</w:t>
            </w:r>
            <w:r>
              <w:rPr>
                <w:rFonts w:hint="eastAsia" w:cs="Times New Roman"/>
                <w:b w:val="0"/>
                <w:bCs/>
                <w:color w:val="auto"/>
                <w:sz w:val="24"/>
                <w:szCs w:val="24"/>
                <w:highlight w:val="none"/>
                <w:lang w:val="en-US" w:eastAsia="zh-CN"/>
              </w:rPr>
              <w:t>、氢氟酸</w:t>
            </w:r>
            <w:r>
              <w:rPr>
                <w:rFonts w:hint="default" w:ascii="Times New Roman" w:hAnsi="Times New Roman" w:eastAsia="宋体" w:cs="Times New Roman"/>
                <w:b w:val="0"/>
                <w:bCs/>
                <w:color w:val="auto"/>
                <w:sz w:val="24"/>
                <w:szCs w:val="24"/>
                <w:highlight w:val="none"/>
                <w:lang w:val="en-US" w:eastAsia="zh-CN"/>
              </w:rPr>
              <w:t>在常温下蒸汽分压分别为盐酸0.228mmHg、硫酸11.52mmHg</w:t>
            </w:r>
            <w:r>
              <w:rPr>
                <w:rFonts w:hint="eastAsia" w:cs="Times New Roman"/>
                <w:b w:val="0"/>
                <w:bCs/>
                <w:color w:val="auto"/>
                <w:sz w:val="24"/>
                <w:szCs w:val="24"/>
                <w:highlight w:val="none"/>
                <w:lang w:val="en-US" w:eastAsia="zh-CN"/>
              </w:rPr>
              <w:t>、氢氟酸25</w:t>
            </w:r>
            <w:r>
              <w:rPr>
                <w:rFonts w:hint="default" w:ascii="Times New Roman" w:hAnsi="Times New Roman" w:eastAsia="宋体" w:cs="Times New Roman"/>
                <w:b w:val="0"/>
                <w:bCs/>
                <w:color w:val="auto"/>
                <w:sz w:val="24"/>
                <w:szCs w:val="24"/>
                <w:highlight w:val="none"/>
                <w:lang w:val="en-US" w:eastAsia="zh-CN"/>
              </w:rPr>
              <w:t>mmHg。</w:t>
            </w:r>
          </w:p>
          <w:p w14:paraId="11FB608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F</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蒸发面的面积（m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b w:val="0"/>
                <w:bCs/>
                <w:color w:val="auto"/>
                <w:sz w:val="24"/>
                <w:szCs w:val="24"/>
                <w:highlight w:val="none"/>
                <w:lang w:val="en-US" w:eastAsia="zh-CN"/>
              </w:rPr>
              <w:t>）：根据实际场景液体蒸发面的面积取0.01m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b w:val="0"/>
                <w:bCs/>
                <w:color w:val="auto"/>
                <w:sz w:val="24"/>
                <w:szCs w:val="24"/>
                <w:highlight w:val="none"/>
                <w:lang w:val="en-US" w:eastAsia="zh-CN"/>
              </w:rPr>
              <w:t>。通过公式计算得出，本项目盐酸、硫酸</w:t>
            </w:r>
            <w:r>
              <w:rPr>
                <w:rFonts w:hint="eastAsia" w:cs="Times New Roman"/>
                <w:b w:val="0"/>
                <w:bCs/>
                <w:color w:val="auto"/>
                <w:sz w:val="24"/>
                <w:szCs w:val="24"/>
                <w:highlight w:val="none"/>
                <w:lang w:val="en-US" w:eastAsia="zh-CN"/>
              </w:rPr>
              <w:t>、氢氟酸</w:t>
            </w:r>
            <w:r>
              <w:rPr>
                <w:rFonts w:hint="default" w:ascii="Times New Roman" w:hAnsi="Times New Roman" w:eastAsia="宋体" w:cs="Times New Roman"/>
                <w:b w:val="0"/>
                <w:bCs/>
                <w:color w:val="auto"/>
                <w:sz w:val="24"/>
                <w:szCs w:val="24"/>
                <w:highlight w:val="none"/>
                <w:lang w:val="en-US" w:eastAsia="zh-CN"/>
              </w:rPr>
              <w:t>蒸发量分别为0.00005kg/h、0.0066kg/h</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0.00</w:t>
            </w:r>
            <w:r>
              <w:rPr>
                <w:rFonts w:hint="eastAsia"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val="en-US" w:eastAsia="zh-CN"/>
              </w:rPr>
              <w:t>kg/h。本项目平均每天使用盐酸、硫酸</w:t>
            </w:r>
            <w:r>
              <w:rPr>
                <w:rFonts w:hint="eastAsia" w:cs="Times New Roman"/>
                <w:b w:val="0"/>
                <w:bCs/>
                <w:color w:val="auto"/>
                <w:sz w:val="24"/>
                <w:szCs w:val="24"/>
                <w:highlight w:val="none"/>
                <w:lang w:val="en-US" w:eastAsia="zh-CN"/>
              </w:rPr>
              <w:t>、氢氟酸</w:t>
            </w:r>
            <w:r>
              <w:rPr>
                <w:rFonts w:hint="default" w:ascii="Times New Roman" w:hAnsi="Times New Roman" w:eastAsia="宋体" w:cs="Times New Roman"/>
                <w:b w:val="0"/>
                <w:bCs/>
                <w:color w:val="auto"/>
                <w:sz w:val="24"/>
                <w:szCs w:val="24"/>
                <w:highlight w:val="none"/>
                <w:lang w:val="en-US" w:eastAsia="zh-CN"/>
              </w:rPr>
              <w:t>的时间约为</w:t>
            </w:r>
            <w:r>
              <w:rPr>
                <w:rFonts w:hint="eastAsia"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lang w:val="en-US" w:eastAsia="zh-CN"/>
              </w:rPr>
              <w:t>h，年工作</w:t>
            </w:r>
            <w:r>
              <w:rPr>
                <w:rFonts w:hint="eastAsia" w:cs="Times New Roman"/>
                <w:b w:val="0"/>
                <w:bCs/>
                <w:color w:val="auto"/>
                <w:sz w:val="24"/>
                <w:szCs w:val="24"/>
                <w:highlight w:val="none"/>
                <w:lang w:val="en-US" w:eastAsia="zh-CN"/>
              </w:rPr>
              <w:t>300</w:t>
            </w:r>
            <w:r>
              <w:rPr>
                <w:rFonts w:hint="default" w:ascii="Times New Roman" w:hAnsi="Times New Roman" w:eastAsia="宋体" w:cs="Times New Roman"/>
                <w:b w:val="0"/>
                <w:bCs/>
                <w:color w:val="auto"/>
                <w:sz w:val="24"/>
                <w:szCs w:val="24"/>
                <w:highlight w:val="none"/>
                <w:lang w:val="en-US" w:eastAsia="zh-CN"/>
              </w:rPr>
              <w:t>天，则本项目氯化氢、硫酸雾</w:t>
            </w:r>
            <w:r>
              <w:rPr>
                <w:rFonts w:hint="eastAsia" w:cs="Times New Roman"/>
                <w:b w:val="0"/>
                <w:bCs/>
                <w:color w:val="auto"/>
                <w:sz w:val="24"/>
                <w:szCs w:val="24"/>
                <w:highlight w:val="none"/>
                <w:lang w:val="en-US" w:eastAsia="zh-CN"/>
              </w:rPr>
              <w:t>、氟化物</w:t>
            </w:r>
            <w:r>
              <w:rPr>
                <w:rFonts w:hint="default" w:ascii="Times New Roman" w:hAnsi="Times New Roman" w:eastAsia="宋体" w:cs="Times New Roman"/>
                <w:b w:val="0"/>
                <w:bCs/>
                <w:color w:val="auto"/>
                <w:sz w:val="24"/>
                <w:szCs w:val="24"/>
                <w:highlight w:val="none"/>
                <w:lang w:val="en-US" w:eastAsia="zh-CN"/>
              </w:rPr>
              <w:t>年产生量分别为0.0000</w:t>
            </w:r>
            <w:r>
              <w:rPr>
                <w:rFonts w:hint="eastAsia" w:cs="Times New Roman"/>
                <w:b w:val="0"/>
                <w:bCs/>
                <w:color w:val="auto"/>
                <w:sz w:val="24"/>
                <w:szCs w:val="24"/>
                <w:highlight w:val="none"/>
                <w:lang w:val="en-US" w:eastAsia="zh-CN"/>
              </w:rPr>
              <w:t>6</w:t>
            </w:r>
            <w:r>
              <w:rPr>
                <w:rFonts w:hint="default" w:ascii="Times New Roman" w:hAnsi="Times New Roman" w:eastAsia="宋体" w:cs="Times New Roman"/>
                <w:b w:val="0"/>
                <w:bCs/>
                <w:color w:val="auto"/>
                <w:sz w:val="24"/>
                <w:szCs w:val="24"/>
                <w:highlight w:val="none"/>
                <w:lang w:val="en-US" w:eastAsia="zh-CN"/>
              </w:rPr>
              <w:t>t/a、0.00</w:t>
            </w:r>
            <w:r>
              <w:rPr>
                <w:rFonts w:hint="eastAsia" w:cs="Times New Roman"/>
                <w:b w:val="0"/>
                <w:bCs/>
                <w:color w:val="auto"/>
                <w:sz w:val="24"/>
                <w:szCs w:val="24"/>
                <w:highlight w:val="none"/>
                <w:lang w:val="en-US" w:eastAsia="zh-CN"/>
              </w:rPr>
              <w:t>79</w:t>
            </w:r>
            <w:r>
              <w:rPr>
                <w:rFonts w:hint="default" w:ascii="Times New Roman" w:hAnsi="Times New Roman" w:eastAsia="宋体" w:cs="Times New Roman"/>
                <w:b w:val="0"/>
                <w:bCs/>
                <w:color w:val="auto"/>
                <w:sz w:val="24"/>
                <w:szCs w:val="24"/>
                <w:highlight w:val="none"/>
                <w:lang w:val="en-US" w:eastAsia="zh-CN"/>
              </w:rPr>
              <w:t>t/a</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0.00</w:t>
            </w:r>
            <w:r>
              <w:rPr>
                <w:rFonts w:hint="eastAsia"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val="en-US" w:eastAsia="zh-CN"/>
              </w:rPr>
              <w:t>6t/a</w:t>
            </w:r>
            <w:r>
              <w:rPr>
                <w:rFonts w:hint="eastAsia" w:cs="Times New Roman"/>
                <w:b w:val="0"/>
                <w:bCs/>
                <w:color w:val="auto"/>
                <w:sz w:val="24"/>
                <w:szCs w:val="24"/>
                <w:highlight w:val="none"/>
                <w:lang w:val="en-US" w:eastAsia="zh-CN"/>
              </w:rPr>
              <w:t>。</w:t>
            </w:r>
          </w:p>
          <w:p w14:paraId="638146F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b.氮氧化物</w:t>
            </w:r>
          </w:p>
          <w:p w14:paraId="7327A2D6">
            <w:pPr>
              <w:keepNext w:val="0"/>
              <w:keepLines w:val="0"/>
              <w:suppressLineNumbers w:val="0"/>
              <w:spacing w:before="0" w:beforeAutospacing="0" w:after="0" w:afterAutospacing="0" w:line="360" w:lineRule="auto"/>
              <w:ind w:left="0" w:right="0" w:firstLine="480" w:firstLineChars="200"/>
              <w:rPr>
                <w:rFonts w:hint="eastAsia"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项目硝酸使用量为</w:t>
            </w:r>
            <w:r>
              <w:rPr>
                <w:rFonts w:hint="eastAsia" w:cs="Times New Roman"/>
                <w:b w:val="0"/>
                <w:bCs/>
                <w:color w:val="auto"/>
                <w:sz w:val="24"/>
                <w:szCs w:val="24"/>
                <w:highlight w:val="none"/>
                <w:lang w:val="en-US" w:eastAsia="zh-CN"/>
              </w:rPr>
              <w:t>0.0994</w:t>
            </w:r>
            <w:r>
              <w:rPr>
                <w:rFonts w:hint="default" w:ascii="Times New Roman" w:hAnsi="Times New Roman" w:eastAsia="宋体" w:cs="Times New Roman"/>
                <w:b w:val="0"/>
                <w:bCs/>
                <w:color w:val="auto"/>
                <w:sz w:val="24"/>
                <w:szCs w:val="24"/>
                <w:highlight w:val="none"/>
                <w:lang w:val="en-US" w:eastAsia="zh-CN"/>
              </w:rPr>
              <w:t>t/a，由于硝酸挥发产生的酸雾不稳定，遇光会发生下面的光化学反应</w:t>
            </w:r>
            <w:r>
              <w:rPr>
                <w:rFonts w:hint="eastAsia" w:cs="Times New Roman"/>
                <w:b w:val="0"/>
                <w:bCs/>
                <w:color w:val="auto"/>
                <w:sz w:val="24"/>
                <w:szCs w:val="24"/>
                <w:highlight w:val="none"/>
                <w:lang w:val="en-US" w:eastAsia="zh-CN"/>
              </w:rPr>
              <w:t>：</w:t>
            </w:r>
          </w:p>
          <w:p w14:paraId="19834C1C">
            <w:pPr>
              <w:keepNext w:val="0"/>
              <w:keepLines w:val="0"/>
              <w:suppressLineNumbers w:val="0"/>
              <w:spacing w:before="0" w:beforeAutospacing="0" w:after="0" w:afterAutospacing="0" w:line="360" w:lineRule="auto"/>
              <w:ind w:left="0" w:right="0" w:firstLine="420" w:firstLineChars="200"/>
              <w:jc w:val="center"/>
              <w:rPr>
                <w:rFonts w:hint="default" w:ascii="Times New Roman" w:hAnsi="Times New Roman" w:eastAsia="宋体" w:cs="Times New Roman"/>
                <w:b w:val="0"/>
                <w:bCs/>
                <w:color w:val="auto"/>
                <w:sz w:val="24"/>
                <w:szCs w:val="24"/>
                <w:highlight w:val="none"/>
                <w:lang w:val="en-US" w:eastAsia="zh-CN"/>
              </w:rPr>
            </w:pPr>
            <w:r>
              <w:rPr>
                <w:rFonts w:hint="default"/>
                <w:color w:val="auto"/>
                <w:highlight w:val="none"/>
              </w:rPr>
              <w:drawing>
                <wp:inline distT="0" distB="0" distL="114300" distR="114300">
                  <wp:extent cx="2775585" cy="568960"/>
                  <wp:effectExtent l="0" t="0" r="5715" b="254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pic:cNvPicPr>
                        </pic:nvPicPr>
                        <pic:blipFill>
                          <a:blip r:embed="rId16"/>
                          <a:stretch>
                            <a:fillRect/>
                          </a:stretch>
                        </pic:blipFill>
                        <pic:spPr>
                          <a:xfrm>
                            <a:off x="0" y="0"/>
                            <a:ext cx="2775585" cy="568960"/>
                          </a:xfrm>
                          <a:prstGeom prst="rect">
                            <a:avLst/>
                          </a:prstGeom>
                          <a:noFill/>
                          <a:ln>
                            <a:noFill/>
                          </a:ln>
                        </pic:spPr>
                      </pic:pic>
                    </a:graphicData>
                  </a:graphic>
                </wp:inline>
              </w:drawing>
            </w:r>
          </w:p>
          <w:p w14:paraId="1270668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因此，硝酸挥发产生的酸雾实际为氮氧化物，产生氮氧化物的反应质量比为1.37:1，则氮氧化物产生量为0.0</w:t>
            </w:r>
            <w:r>
              <w:rPr>
                <w:rFonts w:hint="eastAsia" w:cs="Times New Roman"/>
                <w:b w:val="0"/>
                <w:bCs/>
                <w:color w:val="auto"/>
                <w:sz w:val="24"/>
                <w:szCs w:val="24"/>
                <w:highlight w:val="none"/>
                <w:lang w:val="en-US" w:eastAsia="zh-CN"/>
              </w:rPr>
              <w:t>726</w:t>
            </w:r>
            <w:r>
              <w:rPr>
                <w:rFonts w:hint="default" w:ascii="Times New Roman" w:hAnsi="Times New Roman" w:eastAsia="宋体" w:cs="Times New Roman"/>
                <w:b w:val="0"/>
                <w:bCs/>
                <w:color w:val="auto"/>
                <w:sz w:val="24"/>
                <w:szCs w:val="24"/>
                <w:highlight w:val="none"/>
                <w:lang w:val="en-US" w:eastAsia="zh-CN"/>
              </w:rPr>
              <w:t>t/a</w:t>
            </w:r>
            <w:r>
              <w:rPr>
                <w:rFonts w:hint="eastAsia" w:cs="Times New Roman"/>
                <w:b w:val="0"/>
                <w:bCs/>
                <w:color w:val="auto"/>
                <w:sz w:val="24"/>
                <w:szCs w:val="24"/>
                <w:highlight w:val="none"/>
                <w:lang w:val="en-US" w:eastAsia="zh-CN"/>
              </w:rPr>
              <w:t>。</w:t>
            </w:r>
          </w:p>
          <w:p w14:paraId="7292E2AD">
            <w:pPr>
              <w:keepNext w:val="0"/>
              <w:keepLines w:val="0"/>
              <w:suppressLineNumbers w:val="0"/>
              <w:spacing w:before="0" w:beforeAutospacing="0" w:after="0" w:afterAutospacing="0" w:line="360" w:lineRule="auto"/>
              <w:ind w:left="0" w:right="0" w:firstLine="480" w:firstLineChars="200"/>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c.</w:t>
            </w:r>
            <w:r>
              <w:rPr>
                <w:rFonts w:hint="default" w:cs="Times New Roman"/>
                <w:b w:val="0"/>
                <w:bCs/>
                <w:color w:val="auto"/>
                <w:sz w:val="24"/>
                <w:szCs w:val="24"/>
                <w:highlight w:val="none"/>
                <w:lang w:val="en-US" w:eastAsia="zh-CN"/>
              </w:rPr>
              <w:t>非甲烷总烃</w:t>
            </w:r>
          </w:p>
          <w:p w14:paraId="40AE06E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本项目实验过程中会使用乙醚、</w:t>
            </w:r>
            <w:r>
              <w:rPr>
                <w:rFonts w:hint="eastAsia" w:cs="Times New Roman"/>
                <w:b w:val="0"/>
                <w:bCs/>
                <w:color w:val="auto"/>
                <w:sz w:val="24"/>
                <w:szCs w:val="24"/>
                <w:highlight w:val="none"/>
                <w:lang w:val="en-US" w:eastAsia="zh-CN"/>
              </w:rPr>
              <w:t>无水乙醇</w:t>
            </w:r>
            <w:r>
              <w:rPr>
                <w:rFonts w:hint="default" w:ascii="Times New Roman" w:hAnsi="Times New Roman" w:eastAsia="宋体" w:cs="Times New Roman"/>
                <w:b w:val="0"/>
                <w:bCs/>
                <w:color w:val="auto"/>
                <w:sz w:val="24"/>
                <w:szCs w:val="24"/>
                <w:highlight w:val="none"/>
                <w:lang w:val="en-US" w:eastAsia="zh-CN"/>
              </w:rPr>
              <w:t>等挥发性试剂，会挥发少量有机废气（以非甲烷总烃表征）。参考美国国家环保局编写的《工业污染源调查与研究》等资料，实验室所用有机试剂挥发量基本在使用量的1%~4%之间，本评价保守取最大值4%计，</w:t>
            </w:r>
            <w:r>
              <w:rPr>
                <w:rFonts w:hint="eastAsia" w:ascii="Times New Roman" w:hAnsi="Times New Roman" w:eastAsia="宋体" w:cs="Times New Roman"/>
                <w:b w:val="0"/>
                <w:bCs/>
                <w:color w:val="auto"/>
                <w:sz w:val="24"/>
                <w:szCs w:val="24"/>
                <w:highlight w:val="none"/>
                <w:lang w:val="en-US" w:eastAsia="zh-CN"/>
              </w:rPr>
              <w:t>本</w:t>
            </w:r>
            <w:r>
              <w:rPr>
                <w:rFonts w:hint="default" w:ascii="Times New Roman" w:hAnsi="Times New Roman" w:eastAsia="宋体" w:cs="Times New Roman"/>
                <w:b w:val="0"/>
                <w:bCs/>
                <w:color w:val="auto"/>
                <w:sz w:val="24"/>
                <w:szCs w:val="24"/>
                <w:highlight w:val="none"/>
                <w:lang w:val="en-US" w:eastAsia="zh-CN"/>
              </w:rPr>
              <w:t>项目乙醚、</w:t>
            </w:r>
            <w:r>
              <w:rPr>
                <w:rFonts w:hint="eastAsia" w:ascii="Times New Roman" w:hAnsi="Times New Roman" w:eastAsia="宋体" w:cs="Times New Roman"/>
                <w:b w:val="0"/>
                <w:bCs/>
                <w:color w:val="auto"/>
                <w:sz w:val="24"/>
                <w:szCs w:val="24"/>
                <w:highlight w:val="none"/>
                <w:lang w:val="en-US" w:eastAsia="zh-CN"/>
              </w:rPr>
              <w:t>无水乙醇</w:t>
            </w:r>
            <w:r>
              <w:rPr>
                <w:rFonts w:hint="default" w:ascii="Times New Roman" w:hAnsi="Times New Roman" w:eastAsia="宋体" w:cs="Times New Roman"/>
                <w:b w:val="0"/>
                <w:bCs/>
                <w:color w:val="auto"/>
                <w:sz w:val="24"/>
                <w:szCs w:val="24"/>
                <w:highlight w:val="none"/>
                <w:lang w:val="en-US" w:eastAsia="zh-CN"/>
              </w:rPr>
              <w:t>使用量</w:t>
            </w:r>
            <w:r>
              <w:rPr>
                <w:rFonts w:hint="eastAsia" w:ascii="Times New Roman" w:hAnsi="Times New Roman" w:eastAsia="宋体" w:cs="Times New Roman"/>
                <w:b w:val="0"/>
                <w:bCs/>
                <w:color w:val="auto"/>
                <w:sz w:val="24"/>
                <w:szCs w:val="24"/>
                <w:highlight w:val="none"/>
                <w:lang w:val="en-US" w:eastAsia="zh-CN"/>
              </w:rPr>
              <w:t>共</w:t>
            </w:r>
            <w:r>
              <w:rPr>
                <w:rFonts w:hint="default" w:ascii="Times New Roman" w:hAnsi="Times New Roman" w:eastAsia="宋体" w:cs="Times New Roman"/>
                <w:b w:val="0"/>
                <w:bCs/>
                <w:color w:val="auto"/>
                <w:sz w:val="24"/>
                <w:szCs w:val="24"/>
                <w:highlight w:val="none"/>
                <w:lang w:val="en-US" w:eastAsia="zh-CN"/>
              </w:rPr>
              <w:t>为</w:t>
            </w:r>
            <w:r>
              <w:rPr>
                <w:rFonts w:hint="eastAsia" w:ascii="Times New Roman" w:hAnsi="Times New Roman" w:eastAsia="宋体" w:cs="Times New Roman"/>
                <w:b w:val="0"/>
                <w:bCs/>
                <w:color w:val="auto"/>
                <w:sz w:val="24"/>
                <w:szCs w:val="24"/>
                <w:highlight w:val="none"/>
                <w:lang w:val="en-US" w:eastAsia="zh-CN"/>
              </w:rPr>
              <w:t>0.081</w:t>
            </w:r>
            <w:r>
              <w:rPr>
                <w:rFonts w:hint="default" w:ascii="Times New Roman" w:hAnsi="Times New Roman" w:eastAsia="宋体" w:cs="Times New Roman"/>
                <w:b w:val="0"/>
                <w:bCs/>
                <w:color w:val="auto"/>
                <w:sz w:val="24"/>
                <w:szCs w:val="24"/>
                <w:highlight w:val="none"/>
                <w:lang w:val="en-US" w:eastAsia="zh-CN"/>
              </w:rPr>
              <w:t>t/a，则非甲烷总烃产生量为0.</w:t>
            </w:r>
            <w:r>
              <w:rPr>
                <w:rFonts w:hint="eastAsia" w:ascii="Times New Roman" w:hAnsi="Times New Roman" w:eastAsia="宋体" w:cs="Times New Roman"/>
                <w:b w:val="0"/>
                <w:bCs/>
                <w:color w:val="auto"/>
                <w:sz w:val="24"/>
                <w:szCs w:val="24"/>
                <w:highlight w:val="none"/>
                <w:lang w:val="en-US" w:eastAsia="zh-CN"/>
              </w:rPr>
              <w:t>0032</w:t>
            </w:r>
            <w:r>
              <w:rPr>
                <w:rFonts w:hint="default" w:ascii="Times New Roman" w:hAnsi="Times New Roman" w:eastAsia="宋体" w:cs="Times New Roman"/>
                <w:b w:val="0"/>
                <w:bCs/>
                <w:color w:val="auto"/>
                <w:sz w:val="24"/>
                <w:szCs w:val="24"/>
                <w:highlight w:val="none"/>
                <w:lang w:val="en-US" w:eastAsia="zh-CN"/>
              </w:rPr>
              <w:t>t/a</w:t>
            </w:r>
            <w:r>
              <w:rPr>
                <w:rFonts w:hint="eastAsia" w:ascii="Times New Roman" w:hAnsi="Times New Roman" w:eastAsia="宋体" w:cs="Times New Roman"/>
                <w:b w:val="0"/>
                <w:bCs/>
                <w:color w:val="auto"/>
                <w:sz w:val="24"/>
                <w:szCs w:val="24"/>
                <w:highlight w:val="none"/>
                <w:lang w:val="en-US" w:eastAsia="zh-CN"/>
              </w:rPr>
              <w:t>。</w:t>
            </w:r>
          </w:p>
          <w:p w14:paraId="1A8AB8D6">
            <w:pPr>
              <w:keepNext w:val="0"/>
              <w:keepLines w:val="0"/>
              <w:suppressLineNumbers w:val="0"/>
              <w:spacing w:before="0" w:beforeAutospacing="0" w:after="0" w:afterAutospacing="0" w:line="360" w:lineRule="auto"/>
              <w:ind w:left="0" w:right="0" w:firstLine="480" w:firstLineChars="200"/>
              <w:rPr>
                <w:rFonts w:hint="eastAsia"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项目实验操作均在通风柜内进行，通风柜呈负压状态。实验室废气经通风橱+碱式喷淋塔</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二级活性炭吸附装置处理后由41米高排气筒DA001排放（风机风量为</w:t>
            </w:r>
            <w:r>
              <w:rPr>
                <w:rFonts w:hint="eastAsia"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000m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/h）</w:t>
            </w:r>
            <w:r>
              <w:rPr>
                <w:rFonts w:hint="eastAsia" w:cs="Times New Roman"/>
                <w:b w:val="0"/>
                <w:bCs/>
                <w:color w:val="auto"/>
                <w:sz w:val="24"/>
                <w:szCs w:val="24"/>
                <w:highlight w:val="none"/>
                <w:lang w:val="en-US" w:eastAsia="zh-CN"/>
              </w:rPr>
              <w:t>。废气收集效率按90%计，废气处理装置对酸性废气、氮氧化物的去除效率按80%计，对有机废气的吸附效率按85%计。</w:t>
            </w:r>
          </w:p>
          <w:p w14:paraId="51E1D158">
            <w:pPr>
              <w:keepNext w:val="0"/>
              <w:keepLines w:val="0"/>
              <w:suppressLineNumbers w:val="0"/>
              <w:spacing w:before="0" w:beforeAutospacing="0" w:after="0" w:afterAutospacing="0" w:line="360" w:lineRule="auto"/>
              <w:ind w:left="0" w:right="0" w:firstLine="480" w:firstLineChars="200"/>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则氯化氢有组织排放量为0.00001 t/a、排放速率为</w:t>
            </w:r>
            <w:r>
              <w:rPr>
                <w:rFonts w:hint="default" w:ascii="Times New Roman" w:hAnsi="Times New Roman" w:eastAsia="宋体" w:cs="Times New Roman"/>
                <w:i w:val="0"/>
                <w:iCs w:val="0"/>
                <w:color w:val="auto"/>
                <w:kern w:val="0"/>
                <w:sz w:val="24"/>
                <w:szCs w:val="24"/>
                <w:highlight w:val="none"/>
                <w:u w:val="none"/>
                <w:lang w:val="en-US" w:eastAsia="zh-CN" w:bidi="ar"/>
              </w:rPr>
              <w:t>0.000008</w:t>
            </w:r>
            <w:r>
              <w:rPr>
                <w:rFonts w:hint="eastAsia" w:cs="Times New Roman"/>
                <w:b w:val="0"/>
                <w:bCs/>
                <w:color w:val="auto"/>
                <w:sz w:val="24"/>
                <w:szCs w:val="24"/>
                <w:highlight w:val="none"/>
                <w:lang w:val="en-US" w:eastAsia="zh-CN"/>
              </w:rPr>
              <w:t>kg/h，排放浓度为0.002mg/m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；无组织排放量为0.000006t/a、排放速率为0.000005kg/h。</w:t>
            </w:r>
          </w:p>
          <w:p w14:paraId="3878A8BD">
            <w:pPr>
              <w:keepNext w:val="0"/>
              <w:keepLines w:val="0"/>
              <w:suppressLineNumbers w:val="0"/>
              <w:spacing w:before="0" w:beforeAutospacing="0" w:after="0" w:afterAutospacing="0" w:line="360" w:lineRule="auto"/>
              <w:ind w:left="0" w:right="0" w:firstLine="480" w:firstLineChars="200"/>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硫酸雾有组织排放量为0.00142t/a、排放速率为</w:t>
            </w:r>
            <w:r>
              <w:rPr>
                <w:rFonts w:hint="default" w:ascii="Times New Roman" w:hAnsi="Times New Roman" w:eastAsia="宋体" w:cs="Times New Roman"/>
                <w:i w:val="0"/>
                <w:iCs w:val="0"/>
                <w:color w:val="auto"/>
                <w:kern w:val="0"/>
                <w:sz w:val="24"/>
                <w:szCs w:val="24"/>
                <w:highlight w:val="none"/>
                <w:u w:val="none"/>
                <w:lang w:val="en-US" w:eastAsia="zh-CN" w:bidi="ar"/>
              </w:rPr>
              <w:t>0.00118</w:t>
            </w:r>
            <w:r>
              <w:rPr>
                <w:rFonts w:hint="eastAsia" w:cs="Times New Roman"/>
                <w:b w:val="0"/>
                <w:bCs/>
                <w:color w:val="auto"/>
                <w:sz w:val="24"/>
                <w:szCs w:val="24"/>
                <w:highlight w:val="none"/>
                <w:lang w:val="en-US" w:eastAsia="zh-CN"/>
              </w:rPr>
              <w:t>kg/h，排放浓度为0.237mg/m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；无组织排放量为0.00079 t/a、排放速率为0.000658kg/h。</w:t>
            </w:r>
          </w:p>
          <w:p w14:paraId="39847AD9">
            <w:pPr>
              <w:keepNext w:val="0"/>
              <w:keepLines w:val="0"/>
              <w:suppressLineNumbers w:val="0"/>
              <w:spacing w:before="0" w:beforeAutospacing="0" w:after="0" w:afterAutospacing="0" w:line="360" w:lineRule="auto"/>
              <w:ind w:left="0" w:right="0" w:firstLine="480" w:firstLineChars="200"/>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氟化物有组织排放量为0.00065t/a、排放速率为</w:t>
            </w:r>
            <w:r>
              <w:rPr>
                <w:rFonts w:hint="default" w:ascii="Times New Roman" w:hAnsi="Times New Roman" w:eastAsia="宋体" w:cs="Times New Roman"/>
                <w:i w:val="0"/>
                <w:iCs w:val="0"/>
                <w:color w:val="auto"/>
                <w:kern w:val="0"/>
                <w:sz w:val="24"/>
                <w:szCs w:val="24"/>
                <w:highlight w:val="none"/>
                <w:u w:val="none"/>
                <w:lang w:val="en-US" w:eastAsia="zh-CN" w:bidi="ar"/>
              </w:rPr>
              <w:t>0.00054</w:t>
            </w:r>
            <w:r>
              <w:rPr>
                <w:rFonts w:hint="eastAsia" w:cs="Times New Roman"/>
                <w:b w:val="0"/>
                <w:bCs/>
                <w:color w:val="auto"/>
                <w:sz w:val="24"/>
                <w:szCs w:val="24"/>
                <w:highlight w:val="none"/>
                <w:lang w:val="en-US" w:eastAsia="zh-CN"/>
              </w:rPr>
              <w:t>kg/h，排放浓度为0.108mg/m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；无组织排放量为0.00036 t/a、排放速率为0.0003kg/h。</w:t>
            </w:r>
          </w:p>
          <w:p w14:paraId="03C859C6">
            <w:pPr>
              <w:keepNext w:val="0"/>
              <w:keepLines w:val="0"/>
              <w:suppressLineNumbers w:val="0"/>
              <w:spacing w:before="0" w:beforeAutospacing="0" w:after="0" w:afterAutospacing="0" w:line="360" w:lineRule="auto"/>
              <w:ind w:left="0" w:right="0" w:firstLine="480" w:firstLineChars="200"/>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氮氧化物有组织排放量为0.01307t/a、排放速率为</w:t>
            </w:r>
            <w:r>
              <w:rPr>
                <w:rFonts w:hint="default" w:ascii="Times New Roman" w:hAnsi="Times New Roman" w:eastAsia="宋体" w:cs="Times New Roman"/>
                <w:i w:val="0"/>
                <w:iCs w:val="0"/>
                <w:color w:val="auto"/>
                <w:kern w:val="0"/>
                <w:sz w:val="24"/>
                <w:szCs w:val="24"/>
                <w:highlight w:val="none"/>
                <w:u w:val="none"/>
                <w:lang w:val="en-US" w:eastAsia="zh-CN" w:bidi="ar"/>
              </w:rPr>
              <w:t>0.01089</w:t>
            </w:r>
            <w:r>
              <w:rPr>
                <w:rFonts w:hint="eastAsia" w:cs="Times New Roman"/>
                <w:b w:val="0"/>
                <w:bCs/>
                <w:color w:val="auto"/>
                <w:sz w:val="24"/>
                <w:szCs w:val="24"/>
                <w:highlight w:val="none"/>
                <w:lang w:val="en-US" w:eastAsia="zh-CN"/>
              </w:rPr>
              <w:t>kg/h，排放浓度为2.178mg/m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；无组织排放量为0.00726 t/a、排放速率为0.00605kg/h。</w:t>
            </w:r>
          </w:p>
          <w:p w14:paraId="306E05A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非甲烷总烃排有组织放量为0.00043t/a、排放速率为</w:t>
            </w:r>
            <w:r>
              <w:rPr>
                <w:rFonts w:hint="default" w:ascii="Times New Roman" w:hAnsi="Times New Roman" w:eastAsia="宋体" w:cs="Times New Roman"/>
                <w:i w:val="0"/>
                <w:iCs w:val="0"/>
                <w:color w:val="auto"/>
                <w:kern w:val="0"/>
                <w:sz w:val="24"/>
                <w:szCs w:val="24"/>
                <w:highlight w:val="none"/>
                <w:u w:val="none"/>
                <w:lang w:val="en-US" w:eastAsia="zh-CN" w:bidi="ar"/>
              </w:rPr>
              <w:t>0.00036</w:t>
            </w:r>
            <w:r>
              <w:rPr>
                <w:rFonts w:hint="eastAsia" w:cs="Times New Roman"/>
                <w:b w:val="0"/>
                <w:bCs/>
                <w:color w:val="auto"/>
                <w:sz w:val="24"/>
                <w:szCs w:val="24"/>
                <w:highlight w:val="none"/>
                <w:lang w:val="en-US" w:eastAsia="zh-CN"/>
              </w:rPr>
              <w:t>kg/h，排放浓度为0.072mg/m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；无组织排放量为0.00032 t/a、排放速率为0.000267kg/h。</w:t>
            </w:r>
          </w:p>
          <w:p w14:paraId="77889D2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本项目实验室废气排放</w:t>
            </w:r>
            <w:r>
              <w:rPr>
                <w:rFonts w:hint="default" w:ascii="Times New Roman" w:hAnsi="Times New Roman" w:eastAsia="宋体" w:cs="Times New Roman"/>
                <w:b w:val="0"/>
                <w:bCs/>
                <w:color w:val="auto"/>
                <w:sz w:val="24"/>
                <w:szCs w:val="24"/>
                <w:highlight w:val="none"/>
                <w:lang w:val="en-US" w:eastAsia="zh-CN"/>
              </w:rPr>
              <w:t>满足《大气污染物综合排放标准》（GB16297-1996）二级排放标准要求</w:t>
            </w:r>
            <w:r>
              <w:rPr>
                <w:rFonts w:hint="eastAsia" w:cs="Times New Roman"/>
                <w:color w:val="auto"/>
                <w:kern w:val="2"/>
                <w:sz w:val="24"/>
                <w:szCs w:val="24"/>
                <w:highlight w:val="none"/>
                <w:lang w:val="en-US" w:eastAsia="zh-CN" w:bidi="ar-SA"/>
              </w:rPr>
              <w:t>。</w:t>
            </w:r>
          </w:p>
          <w:p w14:paraId="4DE503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pacing w:val="-10"/>
                <w:sz w:val="24"/>
                <w:szCs w:val="24"/>
                <w:highlight w:val="none"/>
              </w:rPr>
            </w:pPr>
            <w:r>
              <w:rPr>
                <w:rFonts w:hint="default" w:ascii="Times New Roman" w:hAnsi="Times New Roman" w:eastAsia="宋体"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rPr>
              <w:t>废气污染物产排污情况一览表</w:t>
            </w:r>
          </w:p>
          <w:p w14:paraId="714CD3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根据源强核算，项目废气产排情况详见下表。</w:t>
            </w:r>
          </w:p>
          <w:p w14:paraId="0A2A5936">
            <w:pPr>
              <w:pStyle w:val="50"/>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废气污染源源强核算结果及相关参数一览表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0"/>
              <w:gridCol w:w="238"/>
              <w:gridCol w:w="284"/>
              <w:gridCol w:w="330"/>
              <w:gridCol w:w="705"/>
              <w:gridCol w:w="496"/>
              <w:gridCol w:w="960"/>
              <w:gridCol w:w="263"/>
              <w:gridCol w:w="989"/>
              <w:gridCol w:w="263"/>
              <w:gridCol w:w="209"/>
              <w:gridCol w:w="254"/>
              <w:gridCol w:w="626"/>
              <w:gridCol w:w="781"/>
              <w:gridCol w:w="970"/>
            </w:tblGrid>
            <w:tr w14:paraId="22DD2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restart"/>
                  <w:tcBorders>
                    <w:tl2br w:val="nil"/>
                    <w:tr2bl w:val="nil"/>
                  </w:tcBorders>
                  <w:vAlign w:val="center"/>
                </w:tcPr>
                <w:p w14:paraId="67DAEE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产污设施</w:t>
                  </w:r>
                </w:p>
              </w:tc>
              <w:tc>
                <w:tcPr>
                  <w:tcW w:w="150" w:type="pct"/>
                  <w:vMerge w:val="restart"/>
                  <w:tcBorders>
                    <w:tl2br w:val="nil"/>
                    <w:tr2bl w:val="nil"/>
                  </w:tcBorders>
                  <w:vAlign w:val="center"/>
                </w:tcPr>
                <w:p w14:paraId="0417F9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排放形式</w:t>
                  </w:r>
                </w:p>
              </w:tc>
              <w:tc>
                <w:tcPr>
                  <w:tcW w:w="179" w:type="pct"/>
                  <w:vMerge w:val="restart"/>
                  <w:tcBorders>
                    <w:tl2br w:val="nil"/>
                    <w:tr2bl w:val="nil"/>
                  </w:tcBorders>
                  <w:vAlign w:val="center"/>
                </w:tcPr>
                <w:p w14:paraId="4F258A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p w14:paraId="3B843F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污染物</w:t>
                  </w:r>
                </w:p>
              </w:tc>
              <w:tc>
                <w:tcPr>
                  <w:tcW w:w="1572" w:type="pct"/>
                  <w:gridSpan w:val="4"/>
                  <w:tcBorders>
                    <w:tl2br w:val="nil"/>
                    <w:tr2bl w:val="nil"/>
                  </w:tcBorders>
                  <w:vAlign w:val="center"/>
                </w:tcPr>
                <w:p w14:paraId="62049E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w:t>
                  </w:r>
                </w:p>
              </w:tc>
              <w:tc>
                <w:tcPr>
                  <w:tcW w:w="1088" w:type="pct"/>
                  <w:gridSpan w:val="4"/>
                  <w:tcBorders>
                    <w:tl2br w:val="nil"/>
                    <w:tr2bl w:val="nil"/>
                  </w:tcBorders>
                  <w:vAlign w:val="center"/>
                </w:tcPr>
                <w:p w14:paraId="419665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治理措施</w:t>
                  </w:r>
                </w:p>
              </w:tc>
              <w:tc>
                <w:tcPr>
                  <w:tcW w:w="1660" w:type="pct"/>
                  <w:gridSpan w:val="4"/>
                  <w:tcBorders>
                    <w:tl2br w:val="nil"/>
                    <w:tr2bl w:val="nil"/>
                  </w:tcBorders>
                  <w:vAlign w:val="center"/>
                </w:tcPr>
                <w:p w14:paraId="2B1C8A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w:t>
                  </w:r>
                </w:p>
              </w:tc>
            </w:tr>
            <w:tr w14:paraId="12B46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6417F9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150" w:type="pct"/>
                  <w:vMerge w:val="continue"/>
                  <w:tcBorders>
                    <w:tl2br w:val="nil"/>
                    <w:tr2bl w:val="nil"/>
                  </w:tcBorders>
                  <w:vAlign w:val="center"/>
                </w:tcPr>
                <w:p w14:paraId="109C1D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179" w:type="pct"/>
                  <w:vMerge w:val="continue"/>
                  <w:tcBorders>
                    <w:tl2br w:val="nil"/>
                    <w:tr2bl w:val="nil"/>
                  </w:tcBorders>
                  <w:vAlign w:val="center"/>
                </w:tcPr>
                <w:p w14:paraId="3E4D9A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208" w:type="pct"/>
                  <w:tcBorders>
                    <w:tl2br w:val="nil"/>
                    <w:tr2bl w:val="nil"/>
                  </w:tcBorders>
                  <w:vAlign w:val="center"/>
                </w:tcPr>
                <w:p w14:paraId="7A05F3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p w14:paraId="596D5B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核算方法</w:t>
                  </w:r>
                </w:p>
              </w:tc>
              <w:tc>
                <w:tcPr>
                  <w:tcW w:w="445" w:type="pct"/>
                  <w:tcBorders>
                    <w:tl2br w:val="nil"/>
                    <w:tr2bl w:val="nil"/>
                  </w:tcBorders>
                  <w:vAlign w:val="center"/>
                </w:tcPr>
                <w:p w14:paraId="4F2BE7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313" w:type="pct"/>
                  <w:tcBorders>
                    <w:tl2br w:val="nil"/>
                    <w:tr2bl w:val="nil"/>
                  </w:tcBorders>
                  <w:vAlign w:val="center"/>
                </w:tcPr>
                <w:p w14:paraId="06137C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eastAsia="宋体" w:cs="Times New Roman"/>
                      <w:b/>
                      <w:bCs/>
                      <w:color w:val="auto"/>
                      <w:sz w:val="21"/>
                      <w:szCs w:val="21"/>
                      <w:highlight w:val="none"/>
                      <w:lang w:eastAsia="zh-CN"/>
                    </w:rPr>
                    <w:t>）</w:t>
                  </w:r>
                </w:p>
              </w:tc>
              <w:tc>
                <w:tcPr>
                  <w:tcW w:w="605" w:type="pct"/>
                  <w:tcBorders>
                    <w:tl2br w:val="nil"/>
                    <w:tr2bl w:val="nil"/>
                  </w:tcBorders>
                  <w:vAlign w:val="center"/>
                </w:tcPr>
                <w:p w14:paraId="59D746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 xml:space="preserve">产生浓度 </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c>
                <w:tcPr>
                  <w:tcW w:w="166" w:type="pct"/>
                  <w:tcBorders>
                    <w:tl2br w:val="nil"/>
                    <w:tr2bl w:val="nil"/>
                  </w:tcBorders>
                  <w:vAlign w:val="center"/>
                </w:tcPr>
                <w:p w14:paraId="5870F3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收集效率</w:t>
                  </w:r>
                </w:p>
                <w:p w14:paraId="175555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624" w:type="pct"/>
                  <w:tcBorders>
                    <w:tl2br w:val="nil"/>
                    <w:tr2bl w:val="nil"/>
                  </w:tcBorders>
                  <w:vAlign w:val="center"/>
                </w:tcPr>
                <w:p w14:paraId="1AB46A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工艺</w:t>
                  </w:r>
                </w:p>
              </w:tc>
              <w:tc>
                <w:tcPr>
                  <w:tcW w:w="166" w:type="pct"/>
                  <w:tcBorders>
                    <w:tl2br w:val="nil"/>
                    <w:tr2bl w:val="nil"/>
                  </w:tcBorders>
                  <w:vAlign w:val="center"/>
                </w:tcPr>
                <w:p w14:paraId="558DD7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处理效率</w:t>
                  </w:r>
                </w:p>
                <w:p w14:paraId="0F00A4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131" w:type="pct"/>
                  <w:tcBorders>
                    <w:tl2br w:val="nil"/>
                    <w:tr2bl w:val="nil"/>
                  </w:tcBorders>
                  <w:vAlign w:val="center"/>
                </w:tcPr>
                <w:p w14:paraId="3D63CE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是否为可行技术</w:t>
                  </w:r>
                </w:p>
              </w:tc>
              <w:tc>
                <w:tcPr>
                  <w:tcW w:w="160" w:type="pct"/>
                  <w:tcBorders>
                    <w:tl2br w:val="nil"/>
                    <w:tr2bl w:val="nil"/>
                  </w:tcBorders>
                  <w:vAlign w:val="center"/>
                </w:tcPr>
                <w:p w14:paraId="1B3D38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核算方法</w:t>
                  </w:r>
                </w:p>
              </w:tc>
              <w:tc>
                <w:tcPr>
                  <w:tcW w:w="395" w:type="pct"/>
                  <w:tcBorders>
                    <w:tl2br w:val="nil"/>
                    <w:tr2bl w:val="nil"/>
                  </w:tcBorders>
                  <w:vAlign w:val="center"/>
                </w:tcPr>
                <w:p w14:paraId="0A1FF1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493" w:type="pct"/>
                  <w:tcBorders>
                    <w:tl2br w:val="nil"/>
                    <w:tr2bl w:val="nil"/>
                  </w:tcBorders>
                  <w:vAlign w:val="center"/>
                </w:tcPr>
                <w:p w14:paraId="73638F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eastAsia="宋体" w:cs="Times New Roman"/>
                      <w:b/>
                      <w:bCs/>
                      <w:color w:val="auto"/>
                      <w:sz w:val="21"/>
                      <w:szCs w:val="21"/>
                      <w:highlight w:val="none"/>
                      <w:lang w:eastAsia="zh-CN"/>
                    </w:rPr>
                    <w:t>）</w:t>
                  </w:r>
                </w:p>
              </w:tc>
              <w:tc>
                <w:tcPr>
                  <w:tcW w:w="611" w:type="pct"/>
                  <w:tcBorders>
                    <w:tl2br w:val="nil"/>
                    <w:tr2bl w:val="nil"/>
                  </w:tcBorders>
                  <w:vAlign w:val="center"/>
                </w:tcPr>
                <w:p w14:paraId="5601E0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 xml:space="preserve">排放浓度 </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r>
            <w:tr w14:paraId="46A2E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tcBorders>
                    <w:tl2br w:val="nil"/>
                    <w:tr2bl w:val="nil"/>
                  </w:tcBorders>
                  <w:vAlign w:val="center"/>
                </w:tcPr>
                <w:p w14:paraId="7974D4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焊接烟尘</w:t>
                  </w:r>
                </w:p>
              </w:tc>
              <w:tc>
                <w:tcPr>
                  <w:tcW w:w="150" w:type="pct"/>
                  <w:tcBorders>
                    <w:tl2br w:val="nil"/>
                    <w:tr2bl w:val="nil"/>
                  </w:tcBorders>
                  <w:vAlign w:val="center"/>
                </w:tcPr>
                <w:p w14:paraId="73E661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79" w:type="pct"/>
                  <w:tcBorders>
                    <w:tl2br w:val="nil"/>
                    <w:tr2bl w:val="nil"/>
                  </w:tcBorders>
                  <w:vAlign w:val="center"/>
                </w:tcPr>
                <w:p w14:paraId="7880A4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208" w:type="pct"/>
                  <w:tcBorders>
                    <w:tl2br w:val="nil"/>
                    <w:tr2bl w:val="nil"/>
                  </w:tcBorders>
                  <w:vAlign w:val="center"/>
                </w:tcPr>
                <w:p w14:paraId="28AF54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5" w:type="pct"/>
                  <w:tcBorders>
                    <w:tl2br w:val="nil"/>
                    <w:tr2bl w:val="nil"/>
                  </w:tcBorders>
                  <w:vAlign w:val="center"/>
                </w:tcPr>
                <w:p w14:paraId="5DB325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313" w:type="pct"/>
                  <w:tcBorders>
                    <w:tl2br w:val="nil"/>
                    <w:tr2bl w:val="nil"/>
                  </w:tcBorders>
                  <w:vAlign w:val="center"/>
                </w:tcPr>
                <w:p w14:paraId="0BD153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0.167</w:t>
                  </w:r>
                </w:p>
              </w:tc>
              <w:tc>
                <w:tcPr>
                  <w:tcW w:w="605" w:type="pct"/>
                  <w:tcBorders>
                    <w:tl2br w:val="nil"/>
                    <w:tr2bl w:val="nil"/>
                  </w:tcBorders>
                  <w:vAlign w:val="center"/>
                </w:tcPr>
                <w:p w14:paraId="2DC784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6" w:type="pct"/>
                  <w:tcBorders>
                    <w:tl2br w:val="nil"/>
                    <w:tr2bl w:val="nil"/>
                  </w:tcBorders>
                  <w:vAlign w:val="center"/>
                </w:tcPr>
                <w:p w14:paraId="484157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624" w:type="pct"/>
                  <w:tcBorders>
                    <w:tl2br w:val="nil"/>
                    <w:tr2bl w:val="nil"/>
                  </w:tcBorders>
                  <w:vAlign w:val="center"/>
                </w:tcPr>
                <w:p w14:paraId="0209A0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焊接烟尘净化器</w:t>
                  </w:r>
                </w:p>
              </w:tc>
              <w:tc>
                <w:tcPr>
                  <w:tcW w:w="166" w:type="pct"/>
                  <w:tcBorders>
                    <w:tl2br w:val="nil"/>
                    <w:tr2bl w:val="nil"/>
                  </w:tcBorders>
                  <w:vAlign w:val="center"/>
                </w:tcPr>
                <w:p w14:paraId="32393B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131" w:type="pct"/>
                  <w:tcBorders>
                    <w:tl2br w:val="nil"/>
                    <w:tr2bl w:val="nil"/>
                  </w:tcBorders>
                  <w:vAlign w:val="center"/>
                </w:tcPr>
                <w:p w14:paraId="38011B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0" w:type="pct"/>
                  <w:tcBorders>
                    <w:tl2br w:val="nil"/>
                    <w:tr2bl w:val="nil"/>
                  </w:tcBorders>
                  <w:vAlign w:val="center"/>
                </w:tcPr>
                <w:p w14:paraId="5DF9A0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95" w:type="pct"/>
                  <w:tcBorders>
                    <w:tl2br w:val="nil"/>
                    <w:tr2bl w:val="nil"/>
                  </w:tcBorders>
                  <w:vAlign w:val="center"/>
                </w:tcPr>
                <w:p w14:paraId="5CF329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0.002</w:t>
                  </w:r>
                </w:p>
              </w:tc>
              <w:tc>
                <w:tcPr>
                  <w:tcW w:w="493" w:type="pct"/>
                  <w:tcBorders>
                    <w:tl2br w:val="nil"/>
                    <w:tr2bl w:val="nil"/>
                  </w:tcBorders>
                  <w:vAlign w:val="center"/>
                </w:tcPr>
                <w:p w14:paraId="51FB8D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0.033</w:t>
                  </w:r>
                </w:p>
              </w:tc>
              <w:tc>
                <w:tcPr>
                  <w:tcW w:w="611" w:type="pct"/>
                  <w:tcBorders>
                    <w:tl2br w:val="nil"/>
                    <w:tr2bl w:val="nil"/>
                  </w:tcBorders>
                  <w:vAlign w:val="center"/>
                </w:tcPr>
                <w:p w14:paraId="14225A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9E01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restart"/>
                  <w:tcBorders>
                    <w:tl2br w:val="nil"/>
                    <w:tr2bl w:val="nil"/>
                  </w:tcBorders>
                  <w:vAlign w:val="center"/>
                </w:tcPr>
                <w:p w14:paraId="1F9DF5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实验室废气</w:t>
                  </w:r>
                </w:p>
              </w:tc>
              <w:tc>
                <w:tcPr>
                  <w:tcW w:w="150" w:type="pct"/>
                  <w:tcBorders>
                    <w:tl2br w:val="nil"/>
                    <w:tr2bl w:val="nil"/>
                  </w:tcBorders>
                  <w:vAlign w:val="center"/>
                </w:tcPr>
                <w:p w14:paraId="59ED86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179" w:type="pct"/>
                  <w:vMerge w:val="restart"/>
                  <w:tcBorders>
                    <w:tl2br w:val="nil"/>
                    <w:tr2bl w:val="nil"/>
                  </w:tcBorders>
                  <w:vAlign w:val="center"/>
                </w:tcPr>
                <w:p w14:paraId="231AAF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氯化氢</w:t>
                  </w:r>
                </w:p>
              </w:tc>
              <w:tc>
                <w:tcPr>
                  <w:tcW w:w="208" w:type="pct"/>
                  <w:tcBorders>
                    <w:tl2br w:val="nil"/>
                    <w:tr2bl w:val="nil"/>
                  </w:tcBorders>
                  <w:vAlign w:val="center"/>
                </w:tcPr>
                <w:p w14:paraId="270EDC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产物系数法</w:t>
                  </w:r>
                </w:p>
              </w:tc>
              <w:tc>
                <w:tcPr>
                  <w:tcW w:w="445" w:type="pct"/>
                  <w:tcBorders>
                    <w:tl2br w:val="nil"/>
                    <w:tr2bl w:val="nil"/>
                  </w:tcBorders>
                  <w:vAlign w:val="center"/>
                </w:tcPr>
                <w:p w14:paraId="2E446B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0.000054</w:t>
                  </w:r>
                </w:p>
              </w:tc>
              <w:tc>
                <w:tcPr>
                  <w:tcW w:w="313" w:type="pct"/>
                  <w:tcBorders>
                    <w:tl2br w:val="nil"/>
                    <w:tr2bl w:val="nil"/>
                  </w:tcBorders>
                  <w:vAlign w:val="center"/>
                </w:tcPr>
                <w:p w14:paraId="6DAF8B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0.0000 </w:t>
                  </w:r>
                </w:p>
              </w:tc>
              <w:tc>
                <w:tcPr>
                  <w:tcW w:w="605" w:type="pct"/>
                  <w:tcBorders>
                    <w:tl2br w:val="nil"/>
                    <w:tr2bl w:val="nil"/>
                  </w:tcBorders>
                  <w:vAlign w:val="center"/>
                </w:tcPr>
                <w:p w14:paraId="7415C9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0.009 </w:t>
                  </w:r>
                </w:p>
              </w:tc>
              <w:tc>
                <w:tcPr>
                  <w:tcW w:w="166" w:type="pct"/>
                  <w:tcBorders>
                    <w:tl2br w:val="nil"/>
                    <w:tr2bl w:val="nil"/>
                  </w:tcBorders>
                  <w:vAlign w:val="center"/>
                </w:tcPr>
                <w:p w14:paraId="4E0E5E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624" w:type="pct"/>
                  <w:tcBorders>
                    <w:tl2br w:val="nil"/>
                    <w:tr2bl w:val="nil"/>
                  </w:tcBorders>
                  <w:vAlign w:val="center"/>
                </w:tcPr>
                <w:p w14:paraId="2D50E9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通风橱+碱式喷淋塔+二级活性炭吸附装置</w:t>
                  </w:r>
                </w:p>
              </w:tc>
              <w:tc>
                <w:tcPr>
                  <w:tcW w:w="166" w:type="pct"/>
                  <w:tcBorders>
                    <w:tl2br w:val="nil"/>
                    <w:tr2bl w:val="nil"/>
                  </w:tcBorders>
                  <w:vAlign w:val="center"/>
                </w:tcPr>
                <w:p w14:paraId="0C8549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131" w:type="pct"/>
                  <w:tcBorders>
                    <w:tl2br w:val="nil"/>
                    <w:tr2bl w:val="nil"/>
                  </w:tcBorders>
                  <w:vAlign w:val="center"/>
                </w:tcPr>
                <w:p w14:paraId="24F6C5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是</w:t>
                  </w:r>
                </w:p>
              </w:tc>
              <w:tc>
                <w:tcPr>
                  <w:tcW w:w="160" w:type="pct"/>
                  <w:tcBorders>
                    <w:tl2br w:val="nil"/>
                    <w:tr2bl w:val="nil"/>
                  </w:tcBorders>
                  <w:vAlign w:val="center"/>
                </w:tcPr>
                <w:p w14:paraId="60819A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产物系数法</w:t>
                  </w:r>
                </w:p>
              </w:tc>
              <w:tc>
                <w:tcPr>
                  <w:tcW w:w="395" w:type="pct"/>
                  <w:tcBorders>
                    <w:tl2br w:val="nil"/>
                    <w:tr2bl w:val="nil"/>
                  </w:tcBorders>
                  <w:vAlign w:val="center"/>
                </w:tcPr>
                <w:p w14:paraId="3B938A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0.00001 </w:t>
                  </w:r>
                </w:p>
              </w:tc>
              <w:tc>
                <w:tcPr>
                  <w:tcW w:w="493" w:type="pct"/>
                  <w:tcBorders>
                    <w:tl2br w:val="nil"/>
                    <w:tr2bl w:val="nil"/>
                  </w:tcBorders>
                  <w:vAlign w:val="center"/>
                </w:tcPr>
                <w:p w14:paraId="277B8A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 xml:space="preserve">0.000008 </w:t>
                  </w:r>
                </w:p>
              </w:tc>
              <w:tc>
                <w:tcPr>
                  <w:tcW w:w="611" w:type="pct"/>
                  <w:tcBorders>
                    <w:tl2br w:val="nil"/>
                    <w:tr2bl w:val="nil"/>
                  </w:tcBorders>
                  <w:vAlign w:val="center"/>
                </w:tcPr>
                <w:p w14:paraId="290E4D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0.002 </w:t>
                  </w:r>
                </w:p>
              </w:tc>
            </w:tr>
            <w:tr w14:paraId="10F53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1E75AC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s="Times New Roman"/>
                      <w:color w:val="auto"/>
                      <w:sz w:val="21"/>
                      <w:szCs w:val="21"/>
                      <w:highlight w:val="none"/>
                      <w:lang w:val="en-US" w:eastAsia="zh-CN"/>
                    </w:rPr>
                  </w:pPr>
                </w:p>
              </w:tc>
              <w:tc>
                <w:tcPr>
                  <w:tcW w:w="150" w:type="pct"/>
                  <w:tcBorders>
                    <w:tl2br w:val="nil"/>
                    <w:tr2bl w:val="nil"/>
                  </w:tcBorders>
                  <w:vAlign w:val="center"/>
                </w:tcPr>
                <w:p w14:paraId="0EB37E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79" w:type="pct"/>
                  <w:vMerge w:val="continue"/>
                  <w:tcBorders>
                    <w:tl2br w:val="nil"/>
                    <w:tr2bl w:val="nil"/>
                  </w:tcBorders>
                  <w:vAlign w:val="center"/>
                </w:tcPr>
                <w:p w14:paraId="1F893D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p>
              </w:tc>
              <w:tc>
                <w:tcPr>
                  <w:tcW w:w="208" w:type="pct"/>
                  <w:tcBorders>
                    <w:tl2br w:val="nil"/>
                    <w:tr2bl w:val="nil"/>
                  </w:tcBorders>
                  <w:vAlign w:val="center"/>
                </w:tcPr>
                <w:p w14:paraId="75B045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5" w:type="dxa"/>
                  <w:tcBorders>
                    <w:tl2br w:val="nil"/>
                    <w:tr2bl w:val="nil"/>
                  </w:tcBorders>
                  <w:vAlign w:val="center"/>
                </w:tcPr>
                <w:p w14:paraId="591DEE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0.000006</w:t>
                  </w:r>
                </w:p>
              </w:tc>
              <w:tc>
                <w:tcPr>
                  <w:tcW w:w="496" w:type="dxa"/>
                  <w:tcBorders>
                    <w:tl2br w:val="nil"/>
                    <w:tr2bl w:val="nil"/>
                  </w:tcBorders>
                  <w:vAlign w:val="center"/>
                </w:tcPr>
                <w:p w14:paraId="6C6AB6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0.000005 </w:t>
                  </w:r>
                </w:p>
              </w:tc>
              <w:tc>
                <w:tcPr>
                  <w:tcW w:w="605" w:type="pct"/>
                  <w:tcBorders>
                    <w:tl2br w:val="nil"/>
                    <w:tr2bl w:val="nil"/>
                  </w:tcBorders>
                  <w:vAlign w:val="center"/>
                </w:tcPr>
                <w:p w14:paraId="2E0168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6" w:type="pct"/>
                  <w:tcBorders>
                    <w:tl2br w:val="nil"/>
                    <w:tr2bl w:val="nil"/>
                  </w:tcBorders>
                  <w:vAlign w:val="center"/>
                </w:tcPr>
                <w:p w14:paraId="7BE36F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24" w:type="pct"/>
                  <w:tcBorders>
                    <w:tl2br w:val="nil"/>
                    <w:tr2bl w:val="nil"/>
                  </w:tcBorders>
                  <w:vAlign w:val="center"/>
                </w:tcPr>
                <w:p w14:paraId="43EFCF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6" w:type="pct"/>
                  <w:tcBorders>
                    <w:tl2br w:val="nil"/>
                    <w:tr2bl w:val="nil"/>
                  </w:tcBorders>
                  <w:vAlign w:val="center"/>
                </w:tcPr>
                <w:p w14:paraId="51D181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1" w:type="pct"/>
                  <w:tcBorders>
                    <w:tl2br w:val="nil"/>
                    <w:tr2bl w:val="nil"/>
                  </w:tcBorders>
                  <w:vAlign w:val="center"/>
                </w:tcPr>
                <w:p w14:paraId="40B896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0" w:type="pct"/>
                  <w:tcBorders>
                    <w:tl2br w:val="nil"/>
                    <w:tr2bl w:val="nil"/>
                  </w:tcBorders>
                  <w:vAlign w:val="center"/>
                </w:tcPr>
                <w:p w14:paraId="796085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26" w:type="dxa"/>
                  <w:tcBorders>
                    <w:tl2br w:val="nil"/>
                    <w:tr2bl w:val="nil"/>
                  </w:tcBorders>
                  <w:vAlign w:val="center"/>
                </w:tcPr>
                <w:p w14:paraId="78CBCC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0.000006</w:t>
                  </w:r>
                </w:p>
              </w:tc>
              <w:tc>
                <w:tcPr>
                  <w:tcW w:w="781" w:type="dxa"/>
                  <w:tcBorders>
                    <w:tl2br w:val="nil"/>
                    <w:tr2bl w:val="nil"/>
                  </w:tcBorders>
                  <w:vAlign w:val="center"/>
                </w:tcPr>
                <w:p w14:paraId="7AF770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0.000005 </w:t>
                  </w:r>
                </w:p>
              </w:tc>
              <w:tc>
                <w:tcPr>
                  <w:tcW w:w="611" w:type="pct"/>
                  <w:tcBorders>
                    <w:tl2br w:val="nil"/>
                    <w:tr2bl w:val="nil"/>
                  </w:tcBorders>
                  <w:vAlign w:val="center"/>
                </w:tcPr>
                <w:p w14:paraId="47767E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9D48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33E7C4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s="Times New Roman"/>
                      <w:color w:val="auto"/>
                      <w:sz w:val="21"/>
                      <w:szCs w:val="21"/>
                      <w:highlight w:val="none"/>
                      <w:lang w:val="en-US" w:eastAsia="zh-CN"/>
                    </w:rPr>
                  </w:pPr>
                </w:p>
              </w:tc>
              <w:tc>
                <w:tcPr>
                  <w:tcW w:w="150" w:type="pct"/>
                  <w:tcBorders>
                    <w:tl2br w:val="nil"/>
                    <w:tr2bl w:val="nil"/>
                  </w:tcBorders>
                  <w:vAlign w:val="center"/>
                </w:tcPr>
                <w:p w14:paraId="4DB0E5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179" w:type="pct"/>
                  <w:vMerge w:val="restart"/>
                  <w:tcBorders>
                    <w:tl2br w:val="nil"/>
                    <w:tr2bl w:val="nil"/>
                  </w:tcBorders>
                  <w:vAlign w:val="center"/>
                </w:tcPr>
                <w:p w14:paraId="207540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硫酸雾</w:t>
                  </w:r>
                </w:p>
              </w:tc>
              <w:tc>
                <w:tcPr>
                  <w:tcW w:w="330" w:type="dxa"/>
                  <w:tcBorders>
                    <w:tl2br w:val="nil"/>
                    <w:tr2bl w:val="nil"/>
                  </w:tcBorders>
                  <w:vAlign w:val="center"/>
                </w:tcPr>
                <w:p w14:paraId="00CBBA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产物系数法</w:t>
                  </w:r>
                </w:p>
              </w:tc>
              <w:tc>
                <w:tcPr>
                  <w:tcW w:w="705" w:type="dxa"/>
                  <w:tcBorders>
                    <w:tl2br w:val="nil"/>
                    <w:tr2bl w:val="nil"/>
                  </w:tcBorders>
                  <w:vAlign w:val="center"/>
                </w:tcPr>
                <w:p w14:paraId="7FE7C2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0.00711</w:t>
                  </w:r>
                </w:p>
              </w:tc>
              <w:tc>
                <w:tcPr>
                  <w:tcW w:w="496" w:type="dxa"/>
                  <w:tcBorders>
                    <w:tl2br w:val="nil"/>
                    <w:tr2bl w:val="nil"/>
                  </w:tcBorders>
                  <w:vAlign w:val="center"/>
                </w:tcPr>
                <w:p w14:paraId="7CC8A2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0.0059 </w:t>
                  </w:r>
                </w:p>
              </w:tc>
              <w:tc>
                <w:tcPr>
                  <w:tcW w:w="959" w:type="dxa"/>
                  <w:tcBorders>
                    <w:tl2br w:val="nil"/>
                    <w:tr2bl w:val="nil"/>
                  </w:tcBorders>
                  <w:vAlign w:val="center"/>
                </w:tcPr>
                <w:p w14:paraId="22C3F5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1.185 </w:t>
                  </w:r>
                </w:p>
              </w:tc>
              <w:tc>
                <w:tcPr>
                  <w:tcW w:w="263" w:type="dxa"/>
                  <w:tcBorders>
                    <w:tl2br w:val="nil"/>
                    <w:tr2bl w:val="nil"/>
                  </w:tcBorders>
                  <w:vAlign w:val="center"/>
                </w:tcPr>
                <w:p w14:paraId="22BE50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89" w:type="dxa"/>
                  <w:tcBorders>
                    <w:tl2br w:val="nil"/>
                    <w:tr2bl w:val="nil"/>
                  </w:tcBorders>
                  <w:vAlign w:val="center"/>
                </w:tcPr>
                <w:p w14:paraId="1E79C9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通风橱+碱式喷淋塔+二级活性炭吸附装置</w:t>
                  </w:r>
                </w:p>
              </w:tc>
              <w:tc>
                <w:tcPr>
                  <w:tcW w:w="263" w:type="dxa"/>
                  <w:tcBorders>
                    <w:tl2br w:val="nil"/>
                    <w:tr2bl w:val="nil"/>
                  </w:tcBorders>
                  <w:vAlign w:val="center"/>
                </w:tcPr>
                <w:p w14:paraId="5682D2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209" w:type="dxa"/>
                  <w:tcBorders>
                    <w:tl2br w:val="nil"/>
                    <w:tr2bl w:val="nil"/>
                  </w:tcBorders>
                  <w:vAlign w:val="center"/>
                </w:tcPr>
                <w:p w14:paraId="39E1AF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是</w:t>
                  </w:r>
                </w:p>
              </w:tc>
              <w:tc>
                <w:tcPr>
                  <w:tcW w:w="254" w:type="dxa"/>
                  <w:tcBorders>
                    <w:tl2br w:val="nil"/>
                    <w:tr2bl w:val="nil"/>
                  </w:tcBorders>
                  <w:vAlign w:val="center"/>
                </w:tcPr>
                <w:p w14:paraId="1E42A8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产物系数法</w:t>
                  </w:r>
                </w:p>
              </w:tc>
              <w:tc>
                <w:tcPr>
                  <w:tcW w:w="626" w:type="dxa"/>
                  <w:tcBorders>
                    <w:tl2br w:val="nil"/>
                    <w:tr2bl w:val="nil"/>
                  </w:tcBorders>
                  <w:vAlign w:val="center"/>
                </w:tcPr>
                <w:p w14:paraId="23990E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0.00142 </w:t>
                  </w:r>
                </w:p>
              </w:tc>
              <w:tc>
                <w:tcPr>
                  <w:tcW w:w="781" w:type="dxa"/>
                  <w:tcBorders>
                    <w:tl2br w:val="nil"/>
                    <w:tr2bl w:val="nil"/>
                  </w:tcBorders>
                  <w:vAlign w:val="center"/>
                </w:tcPr>
                <w:p w14:paraId="09735D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 xml:space="preserve">0.00118 </w:t>
                  </w:r>
                </w:p>
              </w:tc>
              <w:tc>
                <w:tcPr>
                  <w:tcW w:w="968" w:type="dxa"/>
                  <w:tcBorders>
                    <w:tl2br w:val="nil"/>
                    <w:tr2bl w:val="nil"/>
                  </w:tcBorders>
                  <w:vAlign w:val="center"/>
                </w:tcPr>
                <w:p w14:paraId="7404A3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0.237 </w:t>
                  </w:r>
                </w:p>
              </w:tc>
            </w:tr>
            <w:tr w14:paraId="39B7B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595630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s="Times New Roman"/>
                      <w:color w:val="auto"/>
                      <w:sz w:val="21"/>
                      <w:szCs w:val="21"/>
                      <w:highlight w:val="none"/>
                      <w:lang w:val="en-US" w:eastAsia="zh-CN"/>
                    </w:rPr>
                  </w:pPr>
                </w:p>
              </w:tc>
              <w:tc>
                <w:tcPr>
                  <w:tcW w:w="150" w:type="pct"/>
                  <w:tcBorders>
                    <w:tl2br w:val="nil"/>
                    <w:tr2bl w:val="nil"/>
                  </w:tcBorders>
                  <w:vAlign w:val="center"/>
                </w:tcPr>
                <w:p w14:paraId="0BECA9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79" w:type="pct"/>
                  <w:vMerge w:val="continue"/>
                  <w:tcBorders>
                    <w:tl2br w:val="nil"/>
                    <w:tr2bl w:val="nil"/>
                  </w:tcBorders>
                  <w:vAlign w:val="center"/>
                </w:tcPr>
                <w:p w14:paraId="071431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p>
              </w:tc>
              <w:tc>
                <w:tcPr>
                  <w:tcW w:w="330" w:type="dxa"/>
                  <w:tcBorders>
                    <w:tl2br w:val="nil"/>
                    <w:tr2bl w:val="nil"/>
                  </w:tcBorders>
                  <w:vAlign w:val="center"/>
                </w:tcPr>
                <w:p w14:paraId="0D2031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5" w:type="dxa"/>
                  <w:tcBorders>
                    <w:tl2br w:val="nil"/>
                    <w:tr2bl w:val="nil"/>
                  </w:tcBorders>
                  <w:vAlign w:val="center"/>
                </w:tcPr>
                <w:p w14:paraId="7BF394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0.00079</w:t>
                  </w:r>
                </w:p>
              </w:tc>
              <w:tc>
                <w:tcPr>
                  <w:tcW w:w="496" w:type="dxa"/>
                  <w:tcBorders>
                    <w:tl2br w:val="nil"/>
                    <w:tr2bl w:val="nil"/>
                  </w:tcBorders>
                  <w:vAlign w:val="center"/>
                </w:tcPr>
                <w:p w14:paraId="05197E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0.000658 </w:t>
                  </w:r>
                </w:p>
              </w:tc>
              <w:tc>
                <w:tcPr>
                  <w:tcW w:w="959" w:type="dxa"/>
                  <w:tcBorders>
                    <w:tl2br w:val="nil"/>
                    <w:tr2bl w:val="nil"/>
                  </w:tcBorders>
                  <w:vAlign w:val="center"/>
                </w:tcPr>
                <w:p w14:paraId="641E96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3" w:type="dxa"/>
                  <w:tcBorders>
                    <w:tl2br w:val="nil"/>
                    <w:tr2bl w:val="nil"/>
                  </w:tcBorders>
                  <w:vAlign w:val="center"/>
                </w:tcPr>
                <w:p w14:paraId="01E77D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89" w:type="dxa"/>
                  <w:tcBorders>
                    <w:tl2br w:val="nil"/>
                    <w:tr2bl w:val="nil"/>
                  </w:tcBorders>
                  <w:vAlign w:val="center"/>
                </w:tcPr>
                <w:p w14:paraId="6B48B7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3" w:type="dxa"/>
                  <w:tcBorders>
                    <w:tl2br w:val="nil"/>
                    <w:tr2bl w:val="nil"/>
                  </w:tcBorders>
                  <w:vAlign w:val="center"/>
                </w:tcPr>
                <w:p w14:paraId="299A25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09" w:type="dxa"/>
                  <w:tcBorders>
                    <w:tl2br w:val="nil"/>
                    <w:tr2bl w:val="nil"/>
                  </w:tcBorders>
                  <w:vAlign w:val="center"/>
                </w:tcPr>
                <w:p w14:paraId="66414C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4" w:type="dxa"/>
                  <w:tcBorders>
                    <w:tl2br w:val="nil"/>
                    <w:tr2bl w:val="nil"/>
                  </w:tcBorders>
                  <w:vAlign w:val="center"/>
                </w:tcPr>
                <w:p w14:paraId="543AE2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26" w:type="dxa"/>
                  <w:tcBorders>
                    <w:tl2br w:val="nil"/>
                    <w:tr2bl w:val="nil"/>
                  </w:tcBorders>
                  <w:vAlign w:val="center"/>
                </w:tcPr>
                <w:p w14:paraId="67A9BB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0.00079</w:t>
                  </w:r>
                </w:p>
              </w:tc>
              <w:tc>
                <w:tcPr>
                  <w:tcW w:w="781" w:type="dxa"/>
                  <w:tcBorders>
                    <w:tl2br w:val="nil"/>
                    <w:tr2bl w:val="nil"/>
                  </w:tcBorders>
                  <w:vAlign w:val="center"/>
                </w:tcPr>
                <w:p w14:paraId="7634A4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0.000658 </w:t>
                  </w:r>
                </w:p>
              </w:tc>
              <w:tc>
                <w:tcPr>
                  <w:tcW w:w="968" w:type="dxa"/>
                  <w:tcBorders>
                    <w:tl2br w:val="nil"/>
                    <w:tr2bl w:val="nil"/>
                  </w:tcBorders>
                  <w:vAlign w:val="center"/>
                </w:tcPr>
                <w:p w14:paraId="274F3E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DC67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5C28D6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s="Times New Roman"/>
                      <w:color w:val="auto"/>
                      <w:sz w:val="21"/>
                      <w:szCs w:val="21"/>
                      <w:highlight w:val="none"/>
                      <w:lang w:val="en-US" w:eastAsia="zh-CN"/>
                    </w:rPr>
                  </w:pPr>
                </w:p>
              </w:tc>
              <w:tc>
                <w:tcPr>
                  <w:tcW w:w="150" w:type="pct"/>
                  <w:tcBorders>
                    <w:tl2br w:val="nil"/>
                    <w:tr2bl w:val="nil"/>
                  </w:tcBorders>
                  <w:vAlign w:val="center"/>
                </w:tcPr>
                <w:p w14:paraId="29DA4D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179" w:type="pct"/>
                  <w:vMerge w:val="restart"/>
                  <w:tcBorders>
                    <w:tl2br w:val="nil"/>
                    <w:tr2bl w:val="nil"/>
                  </w:tcBorders>
                  <w:vAlign w:val="center"/>
                </w:tcPr>
                <w:p w14:paraId="426721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氟化物</w:t>
                  </w:r>
                </w:p>
              </w:tc>
              <w:tc>
                <w:tcPr>
                  <w:tcW w:w="330" w:type="dxa"/>
                  <w:tcBorders>
                    <w:tl2br w:val="nil"/>
                    <w:tr2bl w:val="nil"/>
                  </w:tcBorders>
                  <w:vAlign w:val="center"/>
                </w:tcPr>
                <w:p w14:paraId="0A5BB5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产物系数法</w:t>
                  </w:r>
                </w:p>
              </w:tc>
              <w:tc>
                <w:tcPr>
                  <w:tcW w:w="705" w:type="dxa"/>
                  <w:tcBorders>
                    <w:tl2br w:val="nil"/>
                    <w:tr2bl w:val="nil"/>
                  </w:tcBorders>
                  <w:vAlign w:val="center"/>
                </w:tcPr>
                <w:p w14:paraId="4D3E99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0.00324</w:t>
                  </w:r>
                </w:p>
              </w:tc>
              <w:tc>
                <w:tcPr>
                  <w:tcW w:w="496" w:type="dxa"/>
                  <w:tcBorders>
                    <w:tl2br w:val="nil"/>
                    <w:tr2bl w:val="nil"/>
                  </w:tcBorders>
                  <w:vAlign w:val="center"/>
                </w:tcPr>
                <w:p w14:paraId="606A24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0.0027 </w:t>
                  </w:r>
                </w:p>
              </w:tc>
              <w:tc>
                <w:tcPr>
                  <w:tcW w:w="959" w:type="dxa"/>
                  <w:tcBorders>
                    <w:tl2br w:val="nil"/>
                    <w:tr2bl w:val="nil"/>
                  </w:tcBorders>
                  <w:vAlign w:val="center"/>
                </w:tcPr>
                <w:p w14:paraId="232CC7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0.540 </w:t>
                  </w:r>
                </w:p>
              </w:tc>
              <w:tc>
                <w:tcPr>
                  <w:tcW w:w="263" w:type="dxa"/>
                  <w:tcBorders>
                    <w:tl2br w:val="nil"/>
                    <w:tr2bl w:val="nil"/>
                  </w:tcBorders>
                  <w:vAlign w:val="center"/>
                </w:tcPr>
                <w:p w14:paraId="0A350C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89" w:type="dxa"/>
                  <w:tcBorders>
                    <w:tl2br w:val="nil"/>
                    <w:tr2bl w:val="nil"/>
                  </w:tcBorders>
                  <w:vAlign w:val="center"/>
                </w:tcPr>
                <w:p w14:paraId="2B46DA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通风橱+碱式喷淋塔+二级活性炭吸附装置</w:t>
                  </w:r>
                </w:p>
              </w:tc>
              <w:tc>
                <w:tcPr>
                  <w:tcW w:w="263" w:type="dxa"/>
                  <w:tcBorders>
                    <w:tl2br w:val="nil"/>
                    <w:tr2bl w:val="nil"/>
                  </w:tcBorders>
                  <w:vAlign w:val="center"/>
                </w:tcPr>
                <w:p w14:paraId="42733B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209" w:type="dxa"/>
                  <w:tcBorders>
                    <w:tl2br w:val="nil"/>
                    <w:tr2bl w:val="nil"/>
                  </w:tcBorders>
                  <w:vAlign w:val="center"/>
                </w:tcPr>
                <w:p w14:paraId="50FA3E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是</w:t>
                  </w:r>
                </w:p>
              </w:tc>
              <w:tc>
                <w:tcPr>
                  <w:tcW w:w="254" w:type="dxa"/>
                  <w:tcBorders>
                    <w:tl2br w:val="nil"/>
                    <w:tr2bl w:val="nil"/>
                  </w:tcBorders>
                  <w:vAlign w:val="center"/>
                </w:tcPr>
                <w:p w14:paraId="21871C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产物系数法</w:t>
                  </w:r>
                </w:p>
              </w:tc>
              <w:tc>
                <w:tcPr>
                  <w:tcW w:w="626" w:type="dxa"/>
                  <w:tcBorders>
                    <w:tl2br w:val="nil"/>
                    <w:tr2bl w:val="nil"/>
                  </w:tcBorders>
                  <w:vAlign w:val="center"/>
                </w:tcPr>
                <w:p w14:paraId="02C197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0.00065 </w:t>
                  </w:r>
                </w:p>
              </w:tc>
              <w:tc>
                <w:tcPr>
                  <w:tcW w:w="781" w:type="dxa"/>
                  <w:tcBorders>
                    <w:tl2br w:val="nil"/>
                    <w:tr2bl w:val="nil"/>
                  </w:tcBorders>
                  <w:vAlign w:val="center"/>
                </w:tcPr>
                <w:p w14:paraId="72E230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 xml:space="preserve">0.00054 </w:t>
                  </w:r>
                </w:p>
              </w:tc>
              <w:tc>
                <w:tcPr>
                  <w:tcW w:w="968" w:type="dxa"/>
                  <w:tcBorders>
                    <w:tl2br w:val="nil"/>
                    <w:tr2bl w:val="nil"/>
                  </w:tcBorders>
                  <w:vAlign w:val="center"/>
                </w:tcPr>
                <w:p w14:paraId="549B9F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0.108 </w:t>
                  </w:r>
                </w:p>
              </w:tc>
            </w:tr>
            <w:tr w14:paraId="01015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1CF8B3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s="Times New Roman"/>
                      <w:color w:val="auto"/>
                      <w:sz w:val="21"/>
                      <w:szCs w:val="21"/>
                      <w:highlight w:val="none"/>
                      <w:lang w:val="en-US" w:eastAsia="zh-CN"/>
                    </w:rPr>
                  </w:pPr>
                </w:p>
              </w:tc>
              <w:tc>
                <w:tcPr>
                  <w:tcW w:w="150" w:type="pct"/>
                  <w:tcBorders>
                    <w:tl2br w:val="nil"/>
                    <w:tr2bl w:val="nil"/>
                  </w:tcBorders>
                  <w:vAlign w:val="center"/>
                </w:tcPr>
                <w:p w14:paraId="3F566F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79" w:type="pct"/>
                  <w:vMerge w:val="continue"/>
                  <w:tcBorders>
                    <w:tl2br w:val="nil"/>
                    <w:tr2bl w:val="nil"/>
                  </w:tcBorders>
                  <w:vAlign w:val="center"/>
                </w:tcPr>
                <w:p w14:paraId="49600E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p>
              </w:tc>
              <w:tc>
                <w:tcPr>
                  <w:tcW w:w="330" w:type="dxa"/>
                  <w:tcBorders>
                    <w:tl2br w:val="nil"/>
                    <w:tr2bl w:val="nil"/>
                  </w:tcBorders>
                  <w:vAlign w:val="center"/>
                </w:tcPr>
                <w:p w14:paraId="155E1A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5" w:type="dxa"/>
                  <w:tcBorders>
                    <w:tl2br w:val="nil"/>
                    <w:tr2bl w:val="nil"/>
                  </w:tcBorders>
                  <w:vAlign w:val="center"/>
                </w:tcPr>
                <w:p w14:paraId="229382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0.00036</w:t>
                  </w:r>
                </w:p>
              </w:tc>
              <w:tc>
                <w:tcPr>
                  <w:tcW w:w="496" w:type="dxa"/>
                  <w:tcBorders>
                    <w:tl2br w:val="nil"/>
                    <w:tr2bl w:val="nil"/>
                  </w:tcBorders>
                  <w:vAlign w:val="center"/>
                </w:tcPr>
                <w:p w14:paraId="38C098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0.000300 </w:t>
                  </w:r>
                </w:p>
              </w:tc>
              <w:tc>
                <w:tcPr>
                  <w:tcW w:w="959" w:type="dxa"/>
                  <w:tcBorders>
                    <w:tl2br w:val="nil"/>
                    <w:tr2bl w:val="nil"/>
                  </w:tcBorders>
                  <w:vAlign w:val="center"/>
                </w:tcPr>
                <w:p w14:paraId="027A0D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3" w:type="dxa"/>
                  <w:tcBorders>
                    <w:tl2br w:val="nil"/>
                    <w:tr2bl w:val="nil"/>
                  </w:tcBorders>
                  <w:vAlign w:val="center"/>
                </w:tcPr>
                <w:p w14:paraId="58E49C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89" w:type="dxa"/>
                  <w:tcBorders>
                    <w:tl2br w:val="nil"/>
                    <w:tr2bl w:val="nil"/>
                  </w:tcBorders>
                  <w:vAlign w:val="center"/>
                </w:tcPr>
                <w:p w14:paraId="763718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3" w:type="dxa"/>
                  <w:tcBorders>
                    <w:tl2br w:val="nil"/>
                    <w:tr2bl w:val="nil"/>
                  </w:tcBorders>
                  <w:vAlign w:val="center"/>
                </w:tcPr>
                <w:p w14:paraId="1DA396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09" w:type="dxa"/>
                  <w:tcBorders>
                    <w:tl2br w:val="nil"/>
                    <w:tr2bl w:val="nil"/>
                  </w:tcBorders>
                  <w:vAlign w:val="center"/>
                </w:tcPr>
                <w:p w14:paraId="4146F0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4" w:type="dxa"/>
                  <w:tcBorders>
                    <w:tl2br w:val="nil"/>
                    <w:tr2bl w:val="nil"/>
                  </w:tcBorders>
                  <w:vAlign w:val="center"/>
                </w:tcPr>
                <w:p w14:paraId="2B65C3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26" w:type="dxa"/>
                  <w:tcBorders>
                    <w:tl2br w:val="nil"/>
                    <w:tr2bl w:val="nil"/>
                  </w:tcBorders>
                  <w:vAlign w:val="center"/>
                </w:tcPr>
                <w:p w14:paraId="67B88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0.00036</w:t>
                  </w:r>
                </w:p>
              </w:tc>
              <w:tc>
                <w:tcPr>
                  <w:tcW w:w="781" w:type="dxa"/>
                  <w:tcBorders>
                    <w:tl2br w:val="nil"/>
                    <w:tr2bl w:val="nil"/>
                  </w:tcBorders>
                  <w:vAlign w:val="center"/>
                </w:tcPr>
                <w:p w14:paraId="7BF533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0.000300 </w:t>
                  </w:r>
                </w:p>
              </w:tc>
              <w:tc>
                <w:tcPr>
                  <w:tcW w:w="968" w:type="dxa"/>
                  <w:tcBorders>
                    <w:tl2br w:val="nil"/>
                    <w:tr2bl w:val="nil"/>
                  </w:tcBorders>
                  <w:vAlign w:val="center"/>
                </w:tcPr>
                <w:p w14:paraId="38CFB7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E1CB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775D4C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s="Times New Roman"/>
                      <w:color w:val="auto"/>
                      <w:sz w:val="21"/>
                      <w:szCs w:val="21"/>
                      <w:highlight w:val="none"/>
                      <w:lang w:val="en-US" w:eastAsia="zh-CN"/>
                    </w:rPr>
                  </w:pPr>
                </w:p>
              </w:tc>
              <w:tc>
                <w:tcPr>
                  <w:tcW w:w="150" w:type="pct"/>
                  <w:tcBorders>
                    <w:tl2br w:val="nil"/>
                    <w:tr2bl w:val="nil"/>
                  </w:tcBorders>
                  <w:vAlign w:val="center"/>
                </w:tcPr>
                <w:p w14:paraId="5FB592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179" w:type="pct"/>
                  <w:vMerge w:val="restart"/>
                  <w:tcBorders>
                    <w:tl2br w:val="nil"/>
                    <w:tr2bl w:val="nil"/>
                  </w:tcBorders>
                  <w:vAlign w:val="center"/>
                </w:tcPr>
                <w:p w14:paraId="1D7DCA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氮氧化物</w:t>
                  </w:r>
                </w:p>
              </w:tc>
              <w:tc>
                <w:tcPr>
                  <w:tcW w:w="330" w:type="dxa"/>
                  <w:tcBorders>
                    <w:tl2br w:val="nil"/>
                    <w:tr2bl w:val="nil"/>
                  </w:tcBorders>
                  <w:vAlign w:val="center"/>
                </w:tcPr>
                <w:p w14:paraId="588864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产物系数法</w:t>
                  </w:r>
                </w:p>
              </w:tc>
              <w:tc>
                <w:tcPr>
                  <w:tcW w:w="705" w:type="dxa"/>
                  <w:tcBorders>
                    <w:tl2br w:val="nil"/>
                    <w:tr2bl w:val="nil"/>
                  </w:tcBorders>
                  <w:vAlign w:val="center"/>
                </w:tcPr>
                <w:p w14:paraId="70A6D7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0.06534</w:t>
                  </w:r>
                </w:p>
              </w:tc>
              <w:tc>
                <w:tcPr>
                  <w:tcW w:w="496" w:type="dxa"/>
                  <w:tcBorders>
                    <w:tl2br w:val="nil"/>
                    <w:tr2bl w:val="nil"/>
                  </w:tcBorders>
                  <w:vAlign w:val="center"/>
                </w:tcPr>
                <w:p w14:paraId="1D1692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0.0545 </w:t>
                  </w:r>
                </w:p>
              </w:tc>
              <w:tc>
                <w:tcPr>
                  <w:tcW w:w="959" w:type="dxa"/>
                  <w:tcBorders>
                    <w:tl2br w:val="nil"/>
                    <w:tr2bl w:val="nil"/>
                  </w:tcBorders>
                  <w:vAlign w:val="center"/>
                </w:tcPr>
                <w:p w14:paraId="62F2D4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10.890 </w:t>
                  </w:r>
                </w:p>
              </w:tc>
              <w:tc>
                <w:tcPr>
                  <w:tcW w:w="263" w:type="dxa"/>
                  <w:tcBorders>
                    <w:tl2br w:val="nil"/>
                    <w:tr2bl w:val="nil"/>
                  </w:tcBorders>
                  <w:vAlign w:val="center"/>
                </w:tcPr>
                <w:p w14:paraId="42B8DB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89" w:type="dxa"/>
                  <w:tcBorders>
                    <w:tl2br w:val="nil"/>
                    <w:tr2bl w:val="nil"/>
                  </w:tcBorders>
                  <w:vAlign w:val="center"/>
                </w:tcPr>
                <w:p w14:paraId="3D63DA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通风橱+碱式喷淋塔+二级活性炭吸附装置</w:t>
                  </w:r>
                </w:p>
              </w:tc>
              <w:tc>
                <w:tcPr>
                  <w:tcW w:w="263" w:type="dxa"/>
                  <w:tcBorders>
                    <w:tl2br w:val="nil"/>
                    <w:tr2bl w:val="nil"/>
                  </w:tcBorders>
                  <w:vAlign w:val="center"/>
                </w:tcPr>
                <w:p w14:paraId="49767F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209" w:type="dxa"/>
                  <w:tcBorders>
                    <w:tl2br w:val="nil"/>
                    <w:tr2bl w:val="nil"/>
                  </w:tcBorders>
                  <w:vAlign w:val="center"/>
                </w:tcPr>
                <w:p w14:paraId="38FCFF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是</w:t>
                  </w:r>
                </w:p>
              </w:tc>
              <w:tc>
                <w:tcPr>
                  <w:tcW w:w="254" w:type="dxa"/>
                  <w:tcBorders>
                    <w:tl2br w:val="nil"/>
                    <w:tr2bl w:val="nil"/>
                  </w:tcBorders>
                  <w:vAlign w:val="center"/>
                </w:tcPr>
                <w:p w14:paraId="01BB9C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产物系数法</w:t>
                  </w:r>
                </w:p>
              </w:tc>
              <w:tc>
                <w:tcPr>
                  <w:tcW w:w="626" w:type="dxa"/>
                  <w:tcBorders>
                    <w:tl2br w:val="nil"/>
                    <w:tr2bl w:val="nil"/>
                  </w:tcBorders>
                  <w:vAlign w:val="center"/>
                </w:tcPr>
                <w:p w14:paraId="7F25C8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0.01307 </w:t>
                  </w:r>
                </w:p>
              </w:tc>
              <w:tc>
                <w:tcPr>
                  <w:tcW w:w="781" w:type="dxa"/>
                  <w:tcBorders>
                    <w:tl2br w:val="nil"/>
                    <w:tr2bl w:val="nil"/>
                  </w:tcBorders>
                  <w:vAlign w:val="center"/>
                </w:tcPr>
                <w:p w14:paraId="3F6D53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 xml:space="preserve">0.01089 </w:t>
                  </w:r>
                </w:p>
              </w:tc>
              <w:tc>
                <w:tcPr>
                  <w:tcW w:w="968" w:type="dxa"/>
                  <w:tcBorders>
                    <w:tl2br w:val="nil"/>
                    <w:tr2bl w:val="nil"/>
                  </w:tcBorders>
                  <w:vAlign w:val="center"/>
                </w:tcPr>
                <w:p w14:paraId="36BF8A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2.178 </w:t>
                  </w:r>
                </w:p>
              </w:tc>
            </w:tr>
            <w:tr w14:paraId="2D672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367582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s="Times New Roman"/>
                      <w:color w:val="auto"/>
                      <w:sz w:val="21"/>
                      <w:szCs w:val="21"/>
                      <w:highlight w:val="none"/>
                      <w:lang w:val="en-US" w:eastAsia="zh-CN"/>
                    </w:rPr>
                  </w:pPr>
                </w:p>
              </w:tc>
              <w:tc>
                <w:tcPr>
                  <w:tcW w:w="150" w:type="pct"/>
                  <w:tcBorders>
                    <w:tl2br w:val="nil"/>
                    <w:tr2bl w:val="nil"/>
                  </w:tcBorders>
                  <w:vAlign w:val="center"/>
                </w:tcPr>
                <w:p w14:paraId="1B9F4A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79" w:type="pct"/>
                  <w:vMerge w:val="continue"/>
                  <w:tcBorders>
                    <w:tl2br w:val="nil"/>
                    <w:tr2bl w:val="nil"/>
                  </w:tcBorders>
                  <w:vAlign w:val="center"/>
                </w:tcPr>
                <w:p w14:paraId="321C0E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p>
              </w:tc>
              <w:tc>
                <w:tcPr>
                  <w:tcW w:w="330" w:type="dxa"/>
                  <w:tcBorders>
                    <w:tl2br w:val="nil"/>
                    <w:tr2bl w:val="nil"/>
                  </w:tcBorders>
                  <w:vAlign w:val="center"/>
                </w:tcPr>
                <w:p w14:paraId="0E9C3F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5" w:type="dxa"/>
                  <w:tcBorders>
                    <w:tl2br w:val="nil"/>
                    <w:tr2bl w:val="nil"/>
                  </w:tcBorders>
                  <w:vAlign w:val="center"/>
                </w:tcPr>
                <w:p w14:paraId="6EE892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0.00726</w:t>
                  </w:r>
                </w:p>
              </w:tc>
              <w:tc>
                <w:tcPr>
                  <w:tcW w:w="496" w:type="dxa"/>
                  <w:tcBorders>
                    <w:tl2br w:val="nil"/>
                    <w:tr2bl w:val="nil"/>
                  </w:tcBorders>
                  <w:vAlign w:val="center"/>
                </w:tcPr>
                <w:p w14:paraId="65E4B7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0.006050 </w:t>
                  </w:r>
                </w:p>
              </w:tc>
              <w:tc>
                <w:tcPr>
                  <w:tcW w:w="959" w:type="dxa"/>
                  <w:tcBorders>
                    <w:tl2br w:val="nil"/>
                    <w:tr2bl w:val="nil"/>
                  </w:tcBorders>
                  <w:vAlign w:val="center"/>
                </w:tcPr>
                <w:p w14:paraId="0110C9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3" w:type="dxa"/>
                  <w:tcBorders>
                    <w:tl2br w:val="nil"/>
                    <w:tr2bl w:val="nil"/>
                  </w:tcBorders>
                  <w:vAlign w:val="center"/>
                </w:tcPr>
                <w:p w14:paraId="0DFB7B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89" w:type="dxa"/>
                  <w:tcBorders>
                    <w:tl2br w:val="nil"/>
                    <w:tr2bl w:val="nil"/>
                  </w:tcBorders>
                  <w:vAlign w:val="center"/>
                </w:tcPr>
                <w:p w14:paraId="0A26B6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3" w:type="dxa"/>
                  <w:tcBorders>
                    <w:tl2br w:val="nil"/>
                    <w:tr2bl w:val="nil"/>
                  </w:tcBorders>
                  <w:vAlign w:val="center"/>
                </w:tcPr>
                <w:p w14:paraId="1EE868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09" w:type="dxa"/>
                  <w:tcBorders>
                    <w:tl2br w:val="nil"/>
                    <w:tr2bl w:val="nil"/>
                  </w:tcBorders>
                  <w:vAlign w:val="center"/>
                </w:tcPr>
                <w:p w14:paraId="363596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4" w:type="dxa"/>
                  <w:tcBorders>
                    <w:tl2br w:val="nil"/>
                    <w:tr2bl w:val="nil"/>
                  </w:tcBorders>
                  <w:vAlign w:val="center"/>
                </w:tcPr>
                <w:p w14:paraId="3AC2F4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26" w:type="dxa"/>
                  <w:tcBorders>
                    <w:tl2br w:val="nil"/>
                    <w:tr2bl w:val="nil"/>
                  </w:tcBorders>
                  <w:vAlign w:val="center"/>
                </w:tcPr>
                <w:p w14:paraId="4DAD6A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0.00726</w:t>
                  </w:r>
                </w:p>
              </w:tc>
              <w:tc>
                <w:tcPr>
                  <w:tcW w:w="781" w:type="dxa"/>
                  <w:tcBorders>
                    <w:tl2br w:val="nil"/>
                    <w:tr2bl w:val="nil"/>
                  </w:tcBorders>
                  <w:vAlign w:val="center"/>
                </w:tcPr>
                <w:p w14:paraId="3BCF7E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0.006050 </w:t>
                  </w:r>
                </w:p>
              </w:tc>
              <w:tc>
                <w:tcPr>
                  <w:tcW w:w="968" w:type="dxa"/>
                  <w:tcBorders>
                    <w:tl2br w:val="nil"/>
                    <w:tr2bl w:val="nil"/>
                  </w:tcBorders>
                  <w:vAlign w:val="center"/>
                </w:tcPr>
                <w:p w14:paraId="27CA79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1BAA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51446C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s="Times New Roman"/>
                      <w:color w:val="auto"/>
                      <w:sz w:val="21"/>
                      <w:szCs w:val="21"/>
                      <w:highlight w:val="none"/>
                      <w:lang w:val="en-US" w:eastAsia="zh-CN"/>
                    </w:rPr>
                  </w:pPr>
                </w:p>
              </w:tc>
              <w:tc>
                <w:tcPr>
                  <w:tcW w:w="150" w:type="pct"/>
                  <w:tcBorders>
                    <w:tl2br w:val="nil"/>
                    <w:tr2bl w:val="nil"/>
                  </w:tcBorders>
                  <w:vAlign w:val="center"/>
                </w:tcPr>
                <w:p w14:paraId="64F3D7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179" w:type="pct"/>
                  <w:vMerge w:val="restart"/>
                  <w:tcBorders>
                    <w:tl2br w:val="nil"/>
                    <w:tr2bl w:val="nil"/>
                  </w:tcBorders>
                  <w:vAlign w:val="center"/>
                </w:tcPr>
                <w:p w14:paraId="0AD2FA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非甲烷总烃</w:t>
                  </w:r>
                </w:p>
              </w:tc>
              <w:tc>
                <w:tcPr>
                  <w:tcW w:w="330" w:type="dxa"/>
                  <w:tcBorders>
                    <w:tl2br w:val="nil"/>
                    <w:tr2bl w:val="nil"/>
                  </w:tcBorders>
                  <w:vAlign w:val="center"/>
                </w:tcPr>
                <w:p w14:paraId="1AE774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产物系数法</w:t>
                  </w:r>
                </w:p>
              </w:tc>
              <w:tc>
                <w:tcPr>
                  <w:tcW w:w="705" w:type="dxa"/>
                  <w:tcBorders>
                    <w:tl2br w:val="nil"/>
                    <w:tr2bl w:val="nil"/>
                  </w:tcBorders>
                  <w:vAlign w:val="center"/>
                </w:tcPr>
                <w:p w14:paraId="7029B5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0.00288</w:t>
                  </w:r>
                </w:p>
              </w:tc>
              <w:tc>
                <w:tcPr>
                  <w:tcW w:w="496" w:type="dxa"/>
                  <w:tcBorders>
                    <w:tl2br w:val="nil"/>
                    <w:tr2bl w:val="nil"/>
                  </w:tcBorders>
                  <w:vAlign w:val="center"/>
                </w:tcPr>
                <w:p w14:paraId="72B88F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0.0024 </w:t>
                  </w:r>
                </w:p>
              </w:tc>
              <w:tc>
                <w:tcPr>
                  <w:tcW w:w="959" w:type="dxa"/>
                  <w:tcBorders>
                    <w:tl2br w:val="nil"/>
                    <w:tr2bl w:val="nil"/>
                  </w:tcBorders>
                  <w:vAlign w:val="center"/>
                </w:tcPr>
                <w:p w14:paraId="292785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0.480 </w:t>
                  </w:r>
                </w:p>
              </w:tc>
              <w:tc>
                <w:tcPr>
                  <w:tcW w:w="263" w:type="dxa"/>
                  <w:tcBorders>
                    <w:tl2br w:val="nil"/>
                    <w:tr2bl w:val="nil"/>
                  </w:tcBorders>
                  <w:vAlign w:val="center"/>
                </w:tcPr>
                <w:p w14:paraId="44292B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89" w:type="dxa"/>
                  <w:tcBorders>
                    <w:tl2br w:val="nil"/>
                    <w:tr2bl w:val="nil"/>
                  </w:tcBorders>
                  <w:vAlign w:val="center"/>
                </w:tcPr>
                <w:p w14:paraId="36BBA4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通风橱+碱式喷淋塔+二级活性炭吸附装置</w:t>
                  </w:r>
                </w:p>
              </w:tc>
              <w:tc>
                <w:tcPr>
                  <w:tcW w:w="263" w:type="dxa"/>
                  <w:tcBorders>
                    <w:tl2br w:val="nil"/>
                    <w:tr2bl w:val="nil"/>
                  </w:tcBorders>
                  <w:vAlign w:val="center"/>
                </w:tcPr>
                <w:p w14:paraId="09DCF6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209" w:type="dxa"/>
                  <w:tcBorders>
                    <w:tl2br w:val="nil"/>
                    <w:tr2bl w:val="nil"/>
                  </w:tcBorders>
                  <w:vAlign w:val="center"/>
                </w:tcPr>
                <w:p w14:paraId="17AACF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是</w:t>
                  </w:r>
                </w:p>
              </w:tc>
              <w:tc>
                <w:tcPr>
                  <w:tcW w:w="254" w:type="dxa"/>
                  <w:tcBorders>
                    <w:tl2br w:val="nil"/>
                    <w:tr2bl w:val="nil"/>
                  </w:tcBorders>
                  <w:vAlign w:val="center"/>
                </w:tcPr>
                <w:p w14:paraId="506F70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产物系数法</w:t>
                  </w:r>
                </w:p>
              </w:tc>
              <w:tc>
                <w:tcPr>
                  <w:tcW w:w="626" w:type="dxa"/>
                  <w:tcBorders>
                    <w:tl2br w:val="nil"/>
                    <w:tr2bl w:val="nil"/>
                  </w:tcBorders>
                  <w:vAlign w:val="center"/>
                </w:tcPr>
                <w:p w14:paraId="4DB173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0.00043 </w:t>
                  </w:r>
                </w:p>
              </w:tc>
              <w:tc>
                <w:tcPr>
                  <w:tcW w:w="781" w:type="dxa"/>
                  <w:tcBorders>
                    <w:tl2br w:val="nil"/>
                    <w:tr2bl w:val="nil"/>
                  </w:tcBorders>
                  <w:vAlign w:val="center"/>
                </w:tcPr>
                <w:p w14:paraId="1A277C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 xml:space="preserve">0.00036 </w:t>
                  </w:r>
                </w:p>
              </w:tc>
              <w:tc>
                <w:tcPr>
                  <w:tcW w:w="968" w:type="dxa"/>
                  <w:tcBorders>
                    <w:tl2br w:val="nil"/>
                    <w:tr2bl w:val="nil"/>
                  </w:tcBorders>
                  <w:vAlign w:val="center"/>
                </w:tcPr>
                <w:p w14:paraId="2CFA6A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0.072 </w:t>
                  </w:r>
                </w:p>
              </w:tc>
            </w:tr>
            <w:tr w14:paraId="55A95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1D4AD9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s="Times New Roman"/>
                      <w:color w:val="auto"/>
                      <w:sz w:val="21"/>
                      <w:szCs w:val="21"/>
                      <w:highlight w:val="none"/>
                      <w:lang w:val="en-US" w:eastAsia="zh-CN"/>
                    </w:rPr>
                  </w:pPr>
                </w:p>
              </w:tc>
              <w:tc>
                <w:tcPr>
                  <w:tcW w:w="150" w:type="pct"/>
                  <w:tcBorders>
                    <w:tl2br w:val="nil"/>
                    <w:tr2bl w:val="nil"/>
                  </w:tcBorders>
                  <w:vAlign w:val="center"/>
                </w:tcPr>
                <w:p w14:paraId="7E03E5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79" w:type="pct"/>
                  <w:vMerge w:val="continue"/>
                  <w:tcBorders>
                    <w:tl2br w:val="nil"/>
                    <w:tr2bl w:val="nil"/>
                  </w:tcBorders>
                  <w:vAlign w:val="center"/>
                </w:tcPr>
                <w:p w14:paraId="01F375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p>
              </w:tc>
              <w:tc>
                <w:tcPr>
                  <w:tcW w:w="330" w:type="dxa"/>
                  <w:tcBorders>
                    <w:tl2br w:val="nil"/>
                    <w:tr2bl w:val="nil"/>
                  </w:tcBorders>
                  <w:vAlign w:val="center"/>
                </w:tcPr>
                <w:p w14:paraId="253DF0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5" w:type="dxa"/>
                  <w:tcBorders>
                    <w:tl2br w:val="nil"/>
                    <w:tr2bl w:val="nil"/>
                  </w:tcBorders>
                  <w:vAlign w:val="center"/>
                </w:tcPr>
                <w:p w14:paraId="742D17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0.00032</w:t>
                  </w:r>
                </w:p>
              </w:tc>
              <w:tc>
                <w:tcPr>
                  <w:tcW w:w="496" w:type="dxa"/>
                  <w:tcBorders>
                    <w:tl2br w:val="nil"/>
                    <w:tr2bl w:val="nil"/>
                  </w:tcBorders>
                  <w:vAlign w:val="center"/>
                </w:tcPr>
                <w:p w14:paraId="67C799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0.000267 </w:t>
                  </w:r>
                </w:p>
              </w:tc>
              <w:tc>
                <w:tcPr>
                  <w:tcW w:w="959" w:type="dxa"/>
                  <w:tcBorders>
                    <w:tl2br w:val="nil"/>
                    <w:tr2bl w:val="nil"/>
                  </w:tcBorders>
                  <w:vAlign w:val="center"/>
                </w:tcPr>
                <w:p w14:paraId="1CF8FE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3" w:type="dxa"/>
                  <w:tcBorders>
                    <w:tl2br w:val="nil"/>
                    <w:tr2bl w:val="nil"/>
                  </w:tcBorders>
                  <w:vAlign w:val="center"/>
                </w:tcPr>
                <w:p w14:paraId="4D05B2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89" w:type="dxa"/>
                  <w:tcBorders>
                    <w:tl2br w:val="nil"/>
                    <w:tr2bl w:val="nil"/>
                  </w:tcBorders>
                  <w:vAlign w:val="center"/>
                </w:tcPr>
                <w:p w14:paraId="0F9BD6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3" w:type="dxa"/>
                  <w:tcBorders>
                    <w:tl2br w:val="nil"/>
                    <w:tr2bl w:val="nil"/>
                  </w:tcBorders>
                  <w:vAlign w:val="center"/>
                </w:tcPr>
                <w:p w14:paraId="6484BA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09" w:type="dxa"/>
                  <w:tcBorders>
                    <w:tl2br w:val="nil"/>
                    <w:tr2bl w:val="nil"/>
                  </w:tcBorders>
                  <w:vAlign w:val="center"/>
                </w:tcPr>
                <w:p w14:paraId="5F3909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4" w:type="dxa"/>
                  <w:tcBorders>
                    <w:tl2br w:val="nil"/>
                    <w:tr2bl w:val="nil"/>
                  </w:tcBorders>
                  <w:vAlign w:val="center"/>
                </w:tcPr>
                <w:p w14:paraId="767B04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26" w:type="dxa"/>
                  <w:tcBorders>
                    <w:tl2br w:val="nil"/>
                    <w:tr2bl w:val="nil"/>
                  </w:tcBorders>
                  <w:vAlign w:val="center"/>
                </w:tcPr>
                <w:p w14:paraId="0BA3F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0.00032</w:t>
                  </w:r>
                </w:p>
              </w:tc>
              <w:tc>
                <w:tcPr>
                  <w:tcW w:w="781" w:type="dxa"/>
                  <w:tcBorders>
                    <w:tl2br w:val="nil"/>
                    <w:tr2bl w:val="nil"/>
                  </w:tcBorders>
                  <w:vAlign w:val="center"/>
                </w:tcPr>
                <w:p w14:paraId="3660F0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0.000267 </w:t>
                  </w:r>
                </w:p>
              </w:tc>
              <w:tc>
                <w:tcPr>
                  <w:tcW w:w="968" w:type="dxa"/>
                  <w:tcBorders>
                    <w:tl2br w:val="nil"/>
                    <w:tr2bl w:val="nil"/>
                  </w:tcBorders>
                  <w:vAlign w:val="center"/>
                </w:tcPr>
                <w:p w14:paraId="332ADC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2F1FD3E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排放口基本情况及非正常排放情况</w:t>
            </w:r>
          </w:p>
          <w:p w14:paraId="52422A74">
            <w:pPr>
              <w:pStyle w:val="50"/>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排放口基本情况及排放标准一览表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9"/>
              <w:gridCol w:w="623"/>
              <w:gridCol w:w="434"/>
              <w:gridCol w:w="906"/>
              <w:gridCol w:w="1484"/>
              <w:gridCol w:w="667"/>
              <w:gridCol w:w="786"/>
              <w:gridCol w:w="496"/>
              <w:gridCol w:w="713"/>
              <w:gridCol w:w="1210"/>
            </w:tblGrid>
            <w:tr w14:paraId="773AA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Merge w:val="restart"/>
                  <w:tcBorders>
                    <w:tl2br w:val="nil"/>
                    <w:tr2bl w:val="nil"/>
                  </w:tcBorders>
                  <w:noWrap w:val="0"/>
                  <w:vAlign w:val="center"/>
                </w:tcPr>
                <w:p w14:paraId="7F293415">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w:t>
                  </w:r>
                </w:p>
                <w:p w14:paraId="54FC05B9">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bCs/>
                      <w:color w:val="auto"/>
                      <w:sz w:val="21"/>
                      <w:szCs w:val="21"/>
                      <w:highlight w:val="none"/>
                    </w:rPr>
                    <w:t>环节</w:t>
                  </w:r>
                </w:p>
              </w:tc>
              <w:tc>
                <w:tcPr>
                  <w:tcW w:w="3406" w:type="pct"/>
                  <w:gridSpan w:val="7"/>
                  <w:tcBorders>
                    <w:tl2br w:val="nil"/>
                    <w:tr2bl w:val="nil"/>
                  </w:tcBorders>
                  <w:noWrap w:val="0"/>
                  <w:vAlign w:val="center"/>
                </w:tcPr>
                <w:p w14:paraId="1E7E897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排放口基本情况</w:t>
                  </w:r>
                </w:p>
              </w:tc>
              <w:tc>
                <w:tcPr>
                  <w:tcW w:w="1214" w:type="pct"/>
                  <w:gridSpan w:val="2"/>
                  <w:tcBorders>
                    <w:tl2br w:val="nil"/>
                    <w:tr2bl w:val="nil"/>
                  </w:tcBorders>
                  <w:noWrap w:val="0"/>
                  <w:vAlign w:val="center"/>
                </w:tcPr>
                <w:p w14:paraId="0C4212D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排放标准</w:t>
                  </w:r>
                </w:p>
              </w:tc>
            </w:tr>
            <w:tr w14:paraId="17E76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Merge w:val="continue"/>
                  <w:tcBorders>
                    <w:tl2br w:val="nil"/>
                    <w:tr2bl w:val="nil"/>
                  </w:tcBorders>
                  <w:noWrap w:val="0"/>
                  <w:vAlign w:val="center"/>
                </w:tcPr>
                <w:p w14:paraId="3D79D9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p>
              </w:tc>
              <w:tc>
                <w:tcPr>
                  <w:tcW w:w="393" w:type="pct"/>
                  <w:tcBorders>
                    <w:tl2br w:val="nil"/>
                    <w:tr2bl w:val="nil"/>
                  </w:tcBorders>
                  <w:noWrap w:val="0"/>
                  <w:vAlign w:val="center"/>
                </w:tcPr>
                <w:p w14:paraId="78BCA3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污染物</w:t>
                  </w:r>
                </w:p>
              </w:tc>
              <w:tc>
                <w:tcPr>
                  <w:tcW w:w="274" w:type="pct"/>
                  <w:tcBorders>
                    <w:tl2br w:val="nil"/>
                    <w:tr2bl w:val="nil"/>
                  </w:tcBorders>
                  <w:noWrap w:val="0"/>
                  <w:vAlign w:val="center"/>
                </w:tcPr>
                <w:p w14:paraId="6B84F3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eastAsia="zh-CN" w:bidi="ar"/>
                    </w:rPr>
                    <w:t>排放口</w:t>
                  </w:r>
                  <w:r>
                    <w:rPr>
                      <w:rFonts w:hint="default" w:ascii="Times New Roman" w:hAnsi="Times New Roman" w:eastAsia="宋体" w:cs="Times New Roman"/>
                      <w:b/>
                      <w:color w:val="auto"/>
                      <w:sz w:val="21"/>
                      <w:szCs w:val="21"/>
                      <w:highlight w:val="none"/>
                      <w:lang w:bidi="ar"/>
                    </w:rPr>
                    <w:t>类型</w:t>
                  </w:r>
                </w:p>
              </w:tc>
              <w:tc>
                <w:tcPr>
                  <w:tcW w:w="572" w:type="pct"/>
                  <w:tcBorders>
                    <w:tl2br w:val="nil"/>
                    <w:tr2bl w:val="nil"/>
                  </w:tcBorders>
                  <w:noWrap w:val="0"/>
                  <w:vAlign w:val="center"/>
                </w:tcPr>
                <w:p w14:paraId="24DB72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编号及名称</w:t>
                  </w:r>
                </w:p>
              </w:tc>
              <w:tc>
                <w:tcPr>
                  <w:tcW w:w="937" w:type="pct"/>
                  <w:tcBorders>
                    <w:tl2br w:val="nil"/>
                    <w:tr2bl w:val="nil"/>
                  </w:tcBorders>
                  <w:noWrap w:val="0"/>
                  <w:vAlign w:val="center"/>
                </w:tcPr>
                <w:p w14:paraId="02692B64">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坐标/m</w:t>
                  </w:r>
                </w:p>
              </w:tc>
              <w:tc>
                <w:tcPr>
                  <w:tcW w:w="421" w:type="pct"/>
                  <w:tcBorders>
                    <w:tl2br w:val="nil"/>
                    <w:tr2bl w:val="nil"/>
                  </w:tcBorders>
                  <w:noWrap w:val="0"/>
                  <w:vAlign w:val="center"/>
                </w:tcPr>
                <w:p w14:paraId="4A316D2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高度</w:t>
                  </w:r>
                </w:p>
              </w:tc>
              <w:tc>
                <w:tcPr>
                  <w:tcW w:w="496" w:type="pct"/>
                  <w:tcBorders>
                    <w:tl2br w:val="nil"/>
                    <w:tr2bl w:val="nil"/>
                  </w:tcBorders>
                  <w:noWrap w:val="0"/>
                  <w:vAlign w:val="center"/>
                </w:tcPr>
                <w:p w14:paraId="5E6588E9">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内径</w:t>
                  </w:r>
                </w:p>
              </w:tc>
              <w:tc>
                <w:tcPr>
                  <w:tcW w:w="309" w:type="pct"/>
                  <w:tcBorders>
                    <w:tl2br w:val="nil"/>
                    <w:tr2bl w:val="nil"/>
                  </w:tcBorders>
                  <w:noWrap w:val="0"/>
                  <w:vAlign w:val="center"/>
                </w:tcPr>
                <w:p w14:paraId="3746F9AC">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highlight w:val="none"/>
                      <w:lang w:val="en-US" w:eastAsia="zh-CN" w:bidi="ar"/>
                    </w:rPr>
                  </w:pPr>
                  <w:r>
                    <w:rPr>
                      <w:rFonts w:hint="default" w:ascii="Times New Roman" w:hAnsi="Times New Roman" w:eastAsia="宋体" w:cs="Times New Roman"/>
                      <w:b/>
                      <w:bCs w:val="0"/>
                      <w:color w:val="auto"/>
                      <w:sz w:val="21"/>
                      <w:szCs w:val="21"/>
                      <w:highlight w:val="none"/>
                      <w:lang w:val="en-US" w:eastAsia="zh-CN" w:bidi="ar"/>
                    </w:rPr>
                    <w:t>温度</w:t>
                  </w:r>
                </w:p>
              </w:tc>
              <w:tc>
                <w:tcPr>
                  <w:tcW w:w="450" w:type="pct"/>
                  <w:tcBorders>
                    <w:tl2br w:val="nil"/>
                    <w:tr2bl w:val="nil"/>
                  </w:tcBorders>
                  <w:noWrap w:val="0"/>
                  <w:vAlign w:val="center"/>
                </w:tcPr>
                <w:p w14:paraId="40273663">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标准名称</w:t>
                  </w:r>
                </w:p>
              </w:tc>
              <w:tc>
                <w:tcPr>
                  <w:tcW w:w="764" w:type="pct"/>
                  <w:tcBorders>
                    <w:tl2br w:val="nil"/>
                    <w:tr2bl w:val="nil"/>
                  </w:tcBorders>
                  <w:noWrap w:val="0"/>
                  <w:vAlign w:val="center"/>
                </w:tcPr>
                <w:p w14:paraId="66EF636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eastAsia="zh-CN" w:bidi="ar"/>
                    </w:rPr>
                  </w:pPr>
                  <w:r>
                    <w:rPr>
                      <w:rFonts w:hint="default" w:ascii="Times New Roman" w:hAnsi="Times New Roman" w:eastAsia="宋体" w:cs="Times New Roman"/>
                      <w:b/>
                      <w:color w:val="auto"/>
                      <w:sz w:val="21"/>
                      <w:szCs w:val="21"/>
                      <w:highlight w:val="none"/>
                      <w:lang w:bidi="ar"/>
                    </w:rPr>
                    <w:t>浓度</w:t>
                  </w:r>
                  <w:r>
                    <w:rPr>
                      <w:rFonts w:hint="default" w:ascii="Times New Roman" w:hAnsi="Times New Roman" w:eastAsia="宋体" w:cs="Times New Roman"/>
                      <w:b/>
                      <w:color w:val="auto"/>
                      <w:sz w:val="21"/>
                      <w:szCs w:val="21"/>
                      <w:highlight w:val="none"/>
                      <w:lang w:eastAsia="zh-CN" w:bidi="ar"/>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sz w:val="21"/>
                      <w:szCs w:val="21"/>
                      <w:highlight w:val="none"/>
                      <w:lang w:eastAsia="zh-CN" w:bidi="ar"/>
                    </w:rPr>
                    <w:t>）</w:t>
                  </w:r>
                </w:p>
              </w:tc>
            </w:tr>
            <w:tr w14:paraId="5169D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Merge w:val="restart"/>
                  <w:tcBorders>
                    <w:tl2br w:val="nil"/>
                    <w:tr2bl w:val="nil"/>
                  </w:tcBorders>
                  <w:noWrap w:val="0"/>
                  <w:vAlign w:val="center"/>
                </w:tcPr>
                <w:p w14:paraId="37953C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bidi="ar"/>
                    </w:rPr>
                  </w:pPr>
                  <w:r>
                    <w:rPr>
                      <w:rFonts w:hint="eastAsia" w:cs="Times New Roman"/>
                      <w:color w:val="auto"/>
                      <w:spacing w:val="0"/>
                      <w:sz w:val="21"/>
                      <w:szCs w:val="21"/>
                      <w:highlight w:val="none"/>
                      <w:lang w:val="en-US" w:eastAsia="zh-CN"/>
                    </w:rPr>
                    <w:t>实验室废气</w:t>
                  </w:r>
                </w:p>
              </w:tc>
              <w:tc>
                <w:tcPr>
                  <w:tcW w:w="393" w:type="pct"/>
                  <w:tcBorders>
                    <w:tl2br w:val="nil"/>
                    <w:tr2bl w:val="nil"/>
                  </w:tcBorders>
                  <w:noWrap w:val="0"/>
                  <w:vAlign w:val="center"/>
                </w:tcPr>
                <w:p w14:paraId="5C7DCB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21"/>
                      <w:szCs w:val="21"/>
                      <w:highlight w:val="none"/>
                      <w:lang w:val="en-US" w:eastAsia="zh-CN" w:bidi="ar"/>
                    </w:rPr>
                  </w:pPr>
                  <w:r>
                    <w:rPr>
                      <w:rFonts w:hint="eastAsia" w:cs="Times New Roman"/>
                      <w:color w:val="auto"/>
                      <w:sz w:val="21"/>
                      <w:szCs w:val="21"/>
                      <w:highlight w:val="none"/>
                      <w:lang w:val="en-US" w:eastAsia="zh-CN"/>
                    </w:rPr>
                    <w:t>氯化氢</w:t>
                  </w:r>
                </w:p>
              </w:tc>
              <w:tc>
                <w:tcPr>
                  <w:tcW w:w="274" w:type="pct"/>
                  <w:vMerge w:val="restart"/>
                  <w:tcBorders>
                    <w:tl2br w:val="nil"/>
                    <w:tr2bl w:val="nil"/>
                  </w:tcBorders>
                  <w:noWrap w:val="0"/>
                  <w:vAlign w:val="center"/>
                </w:tcPr>
                <w:p w14:paraId="4198D6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r>
                    <w:rPr>
                      <w:rFonts w:hint="default" w:ascii="Times New Roman" w:hAnsi="Times New Roman" w:eastAsia="宋体" w:cs="Times New Roman"/>
                      <w:bCs/>
                      <w:color w:val="auto"/>
                      <w:sz w:val="21"/>
                      <w:szCs w:val="21"/>
                      <w:highlight w:val="none"/>
                      <w:lang w:bidi="ar"/>
                    </w:rPr>
                    <w:t>一般排放口</w:t>
                  </w:r>
                </w:p>
              </w:tc>
              <w:tc>
                <w:tcPr>
                  <w:tcW w:w="572" w:type="pct"/>
                  <w:vMerge w:val="restart"/>
                  <w:tcBorders>
                    <w:tl2br w:val="nil"/>
                    <w:tr2bl w:val="nil"/>
                  </w:tcBorders>
                  <w:noWrap w:val="0"/>
                  <w:vAlign w:val="center"/>
                </w:tcPr>
                <w:p w14:paraId="3F3BD9FE">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bidi="ar"/>
                    </w:rPr>
                    <w:t>DA001</w:t>
                  </w:r>
                </w:p>
              </w:tc>
              <w:tc>
                <w:tcPr>
                  <w:tcW w:w="937" w:type="pct"/>
                  <w:vMerge w:val="restart"/>
                  <w:tcBorders>
                    <w:tl2br w:val="nil"/>
                    <w:tr2bl w:val="nil"/>
                  </w:tcBorders>
                  <w:noWrap w:val="0"/>
                  <w:vAlign w:val="center"/>
                </w:tcPr>
                <w:p w14:paraId="3C69682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108.6796369</w:t>
                  </w:r>
                  <w:r>
                    <w:rPr>
                      <w:rFonts w:hint="eastAsia" w:cs="Times New Roman"/>
                      <w:color w:val="auto"/>
                      <w:sz w:val="21"/>
                      <w:szCs w:val="21"/>
                      <w:highlight w:val="none"/>
                      <w:lang w:eastAsia="zh-CN"/>
                    </w:rPr>
                    <w:t>，</w:t>
                  </w:r>
                </w:p>
                <w:p w14:paraId="1FD7F8C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r>
                    <w:rPr>
                      <w:rFonts w:hint="eastAsia" w:cs="Times New Roman"/>
                      <w:color w:val="auto"/>
                      <w:sz w:val="21"/>
                      <w:szCs w:val="21"/>
                      <w:highlight w:val="none"/>
                      <w:lang w:val="en-US" w:eastAsia="zh-CN"/>
                    </w:rPr>
                    <w:t>34.2271249</w:t>
                  </w:r>
                </w:p>
              </w:tc>
              <w:tc>
                <w:tcPr>
                  <w:tcW w:w="421" w:type="pct"/>
                  <w:vMerge w:val="restart"/>
                  <w:tcBorders>
                    <w:tl2br w:val="nil"/>
                    <w:tr2bl w:val="nil"/>
                  </w:tcBorders>
                  <w:noWrap w:val="0"/>
                  <w:vAlign w:val="center"/>
                </w:tcPr>
                <w:p w14:paraId="4575CFE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bCs/>
                      <w:color w:val="auto"/>
                      <w:sz w:val="21"/>
                      <w:szCs w:val="21"/>
                      <w:highlight w:val="none"/>
                      <w:lang w:eastAsia="zh-CN" w:bidi="ar"/>
                    </w:rPr>
                  </w:pPr>
                  <w:r>
                    <w:rPr>
                      <w:rFonts w:hint="eastAsia" w:cs="Times New Roman"/>
                      <w:bCs/>
                      <w:color w:val="auto"/>
                      <w:sz w:val="21"/>
                      <w:szCs w:val="21"/>
                      <w:highlight w:val="none"/>
                      <w:lang w:val="en-US" w:eastAsia="zh-CN" w:bidi="ar"/>
                    </w:rPr>
                    <w:t>41</w:t>
                  </w:r>
                  <w:r>
                    <w:rPr>
                      <w:rFonts w:hint="eastAsia" w:cs="Times New Roman"/>
                      <w:bCs/>
                      <w:color w:val="auto"/>
                      <w:sz w:val="21"/>
                      <w:szCs w:val="21"/>
                      <w:highlight w:val="none"/>
                      <w:lang w:eastAsia="zh-CN" w:bidi="ar"/>
                    </w:rPr>
                    <w:t>米</w:t>
                  </w:r>
                </w:p>
              </w:tc>
              <w:tc>
                <w:tcPr>
                  <w:tcW w:w="496" w:type="pct"/>
                  <w:vMerge w:val="restart"/>
                  <w:tcBorders>
                    <w:tl2br w:val="nil"/>
                    <w:tr2bl w:val="nil"/>
                  </w:tcBorders>
                  <w:noWrap w:val="0"/>
                  <w:vAlign w:val="center"/>
                </w:tcPr>
                <w:p w14:paraId="35A22F84">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bCs/>
                      <w:color w:val="auto"/>
                      <w:sz w:val="21"/>
                      <w:szCs w:val="21"/>
                      <w:highlight w:val="none"/>
                      <w:lang w:eastAsia="zh-CN" w:bidi="ar"/>
                    </w:rPr>
                  </w:pPr>
                  <w:r>
                    <w:rPr>
                      <w:rFonts w:hint="eastAsia" w:cs="Times New Roman"/>
                      <w:bCs/>
                      <w:color w:val="auto"/>
                      <w:sz w:val="21"/>
                      <w:szCs w:val="21"/>
                      <w:highlight w:val="none"/>
                      <w:lang w:val="en-US" w:eastAsia="zh-CN" w:bidi="ar"/>
                    </w:rPr>
                    <w:t>0.8米</w:t>
                  </w:r>
                </w:p>
              </w:tc>
              <w:tc>
                <w:tcPr>
                  <w:tcW w:w="309" w:type="pct"/>
                  <w:vMerge w:val="restart"/>
                  <w:tcBorders>
                    <w:tl2br w:val="nil"/>
                    <w:tr2bl w:val="nil"/>
                  </w:tcBorders>
                  <w:noWrap w:val="0"/>
                  <w:vAlign w:val="center"/>
                </w:tcPr>
                <w:p w14:paraId="566B516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bidi="ar"/>
                    </w:rPr>
                    <w:t>常温</w:t>
                  </w:r>
                </w:p>
              </w:tc>
              <w:tc>
                <w:tcPr>
                  <w:tcW w:w="450" w:type="pct"/>
                  <w:vMerge w:val="restart"/>
                  <w:tcBorders>
                    <w:tl2br w:val="nil"/>
                    <w:tr2bl w:val="nil"/>
                  </w:tcBorders>
                  <w:noWrap w:val="0"/>
                  <w:vAlign w:val="center"/>
                </w:tcPr>
                <w:p w14:paraId="32C77CD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bCs/>
                      <w:color w:val="auto"/>
                      <w:sz w:val="21"/>
                      <w:szCs w:val="21"/>
                      <w:highlight w:val="none"/>
                      <w:lang w:val="en-US" w:eastAsia="zh-CN" w:bidi="ar"/>
                    </w:rPr>
                  </w:pPr>
                  <w:r>
                    <w:rPr>
                      <w:rFonts w:hint="default" w:ascii="Times New Roman" w:hAnsi="Times New Roman" w:eastAsia="宋体" w:cs="Times New Roman"/>
                      <w:color w:val="auto"/>
                      <w:sz w:val="21"/>
                      <w:szCs w:val="21"/>
                      <w:highlight w:val="none"/>
                    </w:rPr>
                    <w:t>《大气污染物综合排放标准》（GB16297-1996）</w:t>
                  </w:r>
                </w:p>
              </w:tc>
              <w:tc>
                <w:tcPr>
                  <w:tcW w:w="764" w:type="pct"/>
                  <w:tcBorders>
                    <w:tl2br w:val="nil"/>
                    <w:tr2bl w:val="nil"/>
                  </w:tcBorders>
                  <w:noWrap w:val="0"/>
                  <w:vAlign w:val="center"/>
                </w:tcPr>
                <w:p w14:paraId="351CB4F7">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r>
            <w:tr w14:paraId="4A01B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Merge w:val="continue"/>
                  <w:tcBorders>
                    <w:tl2br w:val="nil"/>
                    <w:tr2bl w:val="nil"/>
                  </w:tcBorders>
                  <w:noWrap w:val="0"/>
                  <w:vAlign w:val="center"/>
                </w:tcPr>
                <w:p w14:paraId="6E628E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pacing w:val="0"/>
                      <w:sz w:val="21"/>
                      <w:szCs w:val="21"/>
                      <w:highlight w:val="none"/>
                      <w:lang w:val="en-US" w:eastAsia="zh-CN"/>
                    </w:rPr>
                  </w:pPr>
                </w:p>
              </w:tc>
              <w:tc>
                <w:tcPr>
                  <w:tcW w:w="393" w:type="pct"/>
                  <w:tcBorders>
                    <w:tl2br w:val="nil"/>
                    <w:tr2bl w:val="nil"/>
                  </w:tcBorders>
                  <w:noWrap w:val="0"/>
                  <w:vAlign w:val="center"/>
                </w:tcPr>
                <w:p w14:paraId="26C40C38">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274" w:type="pct"/>
                  <w:vMerge w:val="continue"/>
                  <w:tcBorders>
                    <w:tl2br w:val="nil"/>
                    <w:tr2bl w:val="nil"/>
                  </w:tcBorders>
                  <w:noWrap w:val="0"/>
                  <w:vAlign w:val="center"/>
                </w:tcPr>
                <w:p w14:paraId="63E4DA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572" w:type="pct"/>
                  <w:vMerge w:val="continue"/>
                  <w:tcBorders>
                    <w:tl2br w:val="nil"/>
                    <w:tr2bl w:val="nil"/>
                  </w:tcBorders>
                  <w:noWrap w:val="0"/>
                  <w:vAlign w:val="center"/>
                </w:tcPr>
                <w:p w14:paraId="2C9EA00C">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p>
              </w:tc>
              <w:tc>
                <w:tcPr>
                  <w:tcW w:w="937" w:type="pct"/>
                  <w:vMerge w:val="continue"/>
                  <w:tcBorders>
                    <w:tl2br w:val="nil"/>
                    <w:tr2bl w:val="nil"/>
                  </w:tcBorders>
                  <w:noWrap w:val="0"/>
                  <w:vAlign w:val="center"/>
                </w:tcPr>
                <w:p w14:paraId="7F423DC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421" w:type="pct"/>
                  <w:vMerge w:val="continue"/>
                  <w:tcBorders>
                    <w:tl2br w:val="nil"/>
                    <w:tr2bl w:val="nil"/>
                  </w:tcBorders>
                  <w:noWrap w:val="0"/>
                  <w:vAlign w:val="center"/>
                </w:tcPr>
                <w:p w14:paraId="5D61DD4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cs="Times New Roman"/>
                      <w:bCs/>
                      <w:color w:val="auto"/>
                      <w:sz w:val="21"/>
                      <w:szCs w:val="21"/>
                      <w:highlight w:val="none"/>
                      <w:lang w:val="en-US" w:eastAsia="zh-CN" w:bidi="ar"/>
                    </w:rPr>
                  </w:pPr>
                </w:p>
              </w:tc>
              <w:tc>
                <w:tcPr>
                  <w:tcW w:w="496" w:type="pct"/>
                  <w:vMerge w:val="continue"/>
                  <w:tcBorders>
                    <w:tl2br w:val="nil"/>
                    <w:tr2bl w:val="nil"/>
                  </w:tcBorders>
                  <w:noWrap w:val="0"/>
                  <w:vAlign w:val="center"/>
                </w:tcPr>
                <w:p w14:paraId="75F40FFB">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cs="Times New Roman"/>
                      <w:bCs/>
                      <w:color w:val="auto"/>
                      <w:sz w:val="21"/>
                      <w:szCs w:val="21"/>
                      <w:highlight w:val="none"/>
                      <w:lang w:val="en-US" w:eastAsia="zh-CN" w:bidi="ar"/>
                    </w:rPr>
                  </w:pPr>
                </w:p>
              </w:tc>
              <w:tc>
                <w:tcPr>
                  <w:tcW w:w="309" w:type="pct"/>
                  <w:vMerge w:val="continue"/>
                  <w:tcBorders>
                    <w:tl2br w:val="nil"/>
                    <w:tr2bl w:val="nil"/>
                  </w:tcBorders>
                  <w:noWrap w:val="0"/>
                  <w:vAlign w:val="center"/>
                </w:tcPr>
                <w:p w14:paraId="5494E4AA">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p>
              </w:tc>
              <w:tc>
                <w:tcPr>
                  <w:tcW w:w="450" w:type="pct"/>
                  <w:vMerge w:val="continue"/>
                  <w:tcBorders>
                    <w:tl2br w:val="nil"/>
                    <w:tr2bl w:val="nil"/>
                  </w:tcBorders>
                  <w:noWrap w:val="0"/>
                  <w:vAlign w:val="center"/>
                </w:tcPr>
                <w:p w14:paraId="04A73EF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p>
              </w:tc>
              <w:tc>
                <w:tcPr>
                  <w:tcW w:w="764" w:type="pct"/>
                  <w:tcBorders>
                    <w:tl2br w:val="nil"/>
                    <w:tr2bl w:val="nil"/>
                  </w:tcBorders>
                  <w:noWrap w:val="0"/>
                  <w:vAlign w:val="center"/>
                </w:tcPr>
                <w:p w14:paraId="61393632">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r>
            <w:tr w14:paraId="1584B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Merge w:val="continue"/>
                  <w:tcBorders>
                    <w:tl2br w:val="nil"/>
                    <w:tr2bl w:val="nil"/>
                  </w:tcBorders>
                  <w:noWrap w:val="0"/>
                  <w:vAlign w:val="center"/>
                </w:tcPr>
                <w:p w14:paraId="1F5FB9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pacing w:val="0"/>
                      <w:sz w:val="21"/>
                      <w:szCs w:val="21"/>
                      <w:highlight w:val="none"/>
                      <w:lang w:val="en-US" w:eastAsia="zh-CN"/>
                    </w:rPr>
                  </w:pPr>
                </w:p>
              </w:tc>
              <w:tc>
                <w:tcPr>
                  <w:tcW w:w="393" w:type="pct"/>
                  <w:tcBorders>
                    <w:tl2br w:val="nil"/>
                    <w:tr2bl w:val="nil"/>
                  </w:tcBorders>
                  <w:noWrap w:val="0"/>
                  <w:vAlign w:val="center"/>
                </w:tcPr>
                <w:p w14:paraId="4DC0E765">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氟化物</w:t>
                  </w:r>
                </w:p>
              </w:tc>
              <w:tc>
                <w:tcPr>
                  <w:tcW w:w="274" w:type="pct"/>
                  <w:vMerge w:val="continue"/>
                  <w:tcBorders>
                    <w:tl2br w:val="nil"/>
                    <w:tr2bl w:val="nil"/>
                  </w:tcBorders>
                  <w:noWrap w:val="0"/>
                  <w:vAlign w:val="center"/>
                </w:tcPr>
                <w:p w14:paraId="7E188C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572" w:type="pct"/>
                  <w:vMerge w:val="continue"/>
                  <w:tcBorders>
                    <w:tl2br w:val="nil"/>
                    <w:tr2bl w:val="nil"/>
                  </w:tcBorders>
                  <w:noWrap w:val="0"/>
                  <w:vAlign w:val="center"/>
                </w:tcPr>
                <w:p w14:paraId="31E6895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p>
              </w:tc>
              <w:tc>
                <w:tcPr>
                  <w:tcW w:w="937" w:type="pct"/>
                  <w:vMerge w:val="continue"/>
                  <w:tcBorders>
                    <w:tl2br w:val="nil"/>
                    <w:tr2bl w:val="nil"/>
                  </w:tcBorders>
                  <w:noWrap w:val="0"/>
                  <w:vAlign w:val="center"/>
                </w:tcPr>
                <w:p w14:paraId="0F3E0FD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421" w:type="pct"/>
                  <w:vMerge w:val="continue"/>
                  <w:tcBorders>
                    <w:tl2br w:val="nil"/>
                    <w:tr2bl w:val="nil"/>
                  </w:tcBorders>
                  <w:noWrap w:val="0"/>
                  <w:vAlign w:val="center"/>
                </w:tcPr>
                <w:p w14:paraId="6733C25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cs="Times New Roman"/>
                      <w:bCs/>
                      <w:color w:val="auto"/>
                      <w:sz w:val="21"/>
                      <w:szCs w:val="21"/>
                      <w:highlight w:val="none"/>
                      <w:lang w:val="en-US" w:eastAsia="zh-CN" w:bidi="ar"/>
                    </w:rPr>
                  </w:pPr>
                </w:p>
              </w:tc>
              <w:tc>
                <w:tcPr>
                  <w:tcW w:w="496" w:type="pct"/>
                  <w:vMerge w:val="continue"/>
                  <w:tcBorders>
                    <w:tl2br w:val="nil"/>
                    <w:tr2bl w:val="nil"/>
                  </w:tcBorders>
                  <w:noWrap w:val="0"/>
                  <w:vAlign w:val="center"/>
                </w:tcPr>
                <w:p w14:paraId="35F32F0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cs="Times New Roman"/>
                      <w:bCs/>
                      <w:color w:val="auto"/>
                      <w:sz w:val="21"/>
                      <w:szCs w:val="21"/>
                      <w:highlight w:val="none"/>
                      <w:lang w:val="en-US" w:eastAsia="zh-CN" w:bidi="ar"/>
                    </w:rPr>
                  </w:pPr>
                </w:p>
              </w:tc>
              <w:tc>
                <w:tcPr>
                  <w:tcW w:w="309" w:type="pct"/>
                  <w:vMerge w:val="continue"/>
                  <w:tcBorders>
                    <w:tl2br w:val="nil"/>
                    <w:tr2bl w:val="nil"/>
                  </w:tcBorders>
                  <w:noWrap w:val="0"/>
                  <w:vAlign w:val="center"/>
                </w:tcPr>
                <w:p w14:paraId="177B9CE4">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p>
              </w:tc>
              <w:tc>
                <w:tcPr>
                  <w:tcW w:w="450" w:type="pct"/>
                  <w:vMerge w:val="continue"/>
                  <w:tcBorders>
                    <w:tl2br w:val="nil"/>
                    <w:tr2bl w:val="nil"/>
                  </w:tcBorders>
                  <w:noWrap w:val="0"/>
                  <w:vAlign w:val="center"/>
                </w:tcPr>
                <w:p w14:paraId="7696ED7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p>
              </w:tc>
              <w:tc>
                <w:tcPr>
                  <w:tcW w:w="764" w:type="pct"/>
                  <w:tcBorders>
                    <w:tl2br w:val="nil"/>
                    <w:tr2bl w:val="nil"/>
                  </w:tcBorders>
                  <w:noWrap w:val="0"/>
                  <w:vAlign w:val="center"/>
                </w:tcPr>
                <w:p w14:paraId="0E118068">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r>
            <w:tr w14:paraId="60BA7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Merge w:val="continue"/>
                  <w:tcBorders>
                    <w:tl2br w:val="nil"/>
                    <w:tr2bl w:val="nil"/>
                  </w:tcBorders>
                  <w:noWrap w:val="0"/>
                  <w:vAlign w:val="center"/>
                </w:tcPr>
                <w:p w14:paraId="3DE1E3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pacing w:val="0"/>
                      <w:sz w:val="21"/>
                      <w:szCs w:val="21"/>
                      <w:highlight w:val="none"/>
                      <w:lang w:val="en-US" w:eastAsia="zh-CN"/>
                    </w:rPr>
                  </w:pPr>
                </w:p>
              </w:tc>
              <w:tc>
                <w:tcPr>
                  <w:tcW w:w="393" w:type="pct"/>
                  <w:tcBorders>
                    <w:tl2br w:val="nil"/>
                    <w:tr2bl w:val="nil"/>
                  </w:tcBorders>
                  <w:noWrap w:val="0"/>
                  <w:vAlign w:val="center"/>
                </w:tcPr>
                <w:p w14:paraId="51B69BA0">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氮氧化物</w:t>
                  </w:r>
                </w:p>
              </w:tc>
              <w:tc>
                <w:tcPr>
                  <w:tcW w:w="274" w:type="pct"/>
                  <w:vMerge w:val="continue"/>
                  <w:tcBorders>
                    <w:tl2br w:val="nil"/>
                    <w:tr2bl w:val="nil"/>
                  </w:tcBorders>
                  <w:noWrap w:val="0"/>
                  <w:vAlign w:val="center"/>
                </w:tcPr>
                <w:p w14:paraId="7AF0CE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572" w:type="pct"/>
                  <w:vMerge w:val="continue"/>
                  <w:tcBorders>
                    <w:tl2br w:val="nil"/>
                    <w:tr2bl w:val="nil"/>
                  </w:tcBorders>
                  <w:noWrap w:val="0"/>
                  <w:vAlign w:val="center"/>
                </w:tcPr>
                <w:p w14:paraId="630EEA7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p>
              </w:tc>
              <w:tc>
                <w:tcPr>
                  <w:tcW w:w="937" w:type="pct"/>
                  <w:vMerge w:val="continue"/>
                  <w:tcBorders>
                    <w:tl2br w:val="nil"/>
                    <w:tr2bl w:val="nil"/>
                  </w:tcBorders>
                  <w:noWrap w:val="0"/>
                  <w:vAlign w:val="center"/>
                </w:tcPr>
                <w:p w14:paraId="1697BD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421" w:type="pct"/>
                  <w:vMerge w:val="continue"/>
                  <w:tcBorders>
                    <w:tl2br w:val="nil"/>
                    <w:tr2bl w:val="nil"/>
                  </w:tcBorders>
                  <w:noWrap w:val="0"/>
                  <w:vAlign w:val="center"/>
                </w:tcPr>
                <w:p w14:paraId="1E931897">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cs="Times New Roman"/>
                      <w:bCs/>
                      <w:color w:val="auto"/>
                      <w:sz w:val="21"/>
                      <w:szCs w:val="21"/>
                      <w:highlight w:val="none"/>
                      <w:lang w:val="en-US" w:eastAsia="zh-CN" w:bidi="ar"/>
                    </w:rPr>
                  </w:pPr>
                </w:p>
              </w:tc>
              <w:tc>
                <w:tcPr>
                  <w:tcW w:w="496" w:type="pct"/>
                  <w:vMerge w:val="continue"/>
                  <w:tcBorders>
                    <w:tl2br w:val="nil"/>
                    <w:tr2bl w:val="nil"/>
                  </w:tcBorders>
                  <w:noWrap w:val="0"/>
                  <w:vAlign w:val="center"/>
                </w:tcPr>
                <w:p w14:paraId="4E3C3D0E">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cs="Times New Roman"/>
                      <w:bCs/>
                      <w:color w:val="auto"/>
                      <w:sz w:val="21"/>
                      <w:szCs w:val="21"/>
                      <w:highlight w:val="none"/>
                      <w:lang w:val="en-US" w:eastAsia="zh-CN" w:bidi="ar"/>
                    </w:rPr>
                  </w:pPr>
                </w:p>
              </w:tc>
              <w:tc>
                <w:tcPr>
                  <w:tcW w:w="309" w:type="pct"/>
                  <w:vMerge w:val="continue"/>
                  <w:tcBorders>
                    <w:tl2br w:val="nil"/>
                    <w:tr2bl w:val="nil"/>
                  </w:tcBorders>
                  <w:noWrap w:val="0"/>
                  <w:vAlign w:val="center"/>
                </w:tcPr>
                <w:p w14:paraId="2B42875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p>
              </w:tc>
              <w:tc>
                <w:tcPr>
                  <w:tcW w:w="450" w:type="pct"/>
                  <w:vMerge w:val="continue"/>
                  <w:tcBorders>
                    <w:tl2br w:val="nil"/>
                    <w:tr2bl w:val="nil"/>
                  </w:tcBorders>
                  <w:noWrap w:val="0"/>
                  <w:vAlign w:val="center"/>
                </w:tcPr>
                <w:p w14:paraId="766260A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p>
              </w:tc>
              <w:tc>
                <w:tcPr>
                  <w:tcW w:w="764" w:type="pct"/>
                  <w:tcBorders>
                    <w:tl2br w:val="nil"/>
                    <w:tr2bl w:val="nil"/>
                  </w:tcBorders>
                  <w:noWrap w:val="0"/>
                  <w:vAlign w:val="center"/>
                </w:tcPr>
                <w:p w14:paraId="32C4C971">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r>
            <w:tr w14:paraId="389F5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Merge w:val="continue"/>
                  <w:tcBorders>
                    <w:tl2br w:val="nil"/>
                    <w:tr2bl w:val="nil"/>
                  </w:tcBorders>
                  <w:noWrap w:val="0"/>
                  <w:vAlign w:val="center"/>
                </w:tcPr>
                <w:p w14:paraId="352424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pacing w:val="0"/>
                      <w:sz w:val="21"/>
                      <w:szCs w:val="21"/>
                      <w:highlight w:val="none"/>
                      <w:lang w:val="en-US" w:eastAsia="zh-CN"/>
                    </w:rPr>
                  </w:pPr>
                </w:p>
              </w:tc>
              <w:tc>
                <w:tcPr>
                  <w:tcW w:w="393" w:type="pct"/>
                  <w:tcBorders>
                    <w:tl2br w:val="nil"/>
                    <w:tr2bl w:val="nil"/>
                  </w:tcBorders>
                  <w:noWrap w:val="0"/>
                  <w:vAlign w:val="center"/>
                </w:tcPr>
                <w:p w14:paraId="3B3CD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21"/>
                      <w:szCs w:val="21"/>
                      <w:highlight w:val="none"/>
                      <w:lang w:bidi="ar"/>
                    </w:rPr>
                  </w:pPr>
                  <w:r>
                    <w:rPr>
                      <w:rFonts w:hint="default" w:ascii="Times New Roman" w:hAnsi="Times New Roman" w:eastAsia="宋体" w:cs="Times New Roman"/>
                      <w:bCs/>
                      <w:color w:val="auto"/>
                      <w:sz w:val="21"/>
                      <w:szCs w:val="21"/>
                      <w:highlight w:val="none"/>
                      <w:lang w:bidi="ar"/>
                    </w:rPr>
                    <w:t>非甲烷</w:t>
                  </w:r>
                </w:p>
                <w:p w14:paraId="1E6BDFC7">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bidi="ar"/>
                    </w:rPr>
                    <w:t>总烃</w:t>
                  </w:r>
                </w:p>
              </w:tc>
              <w:tc>
                <w:tcPr>
                  <w:tcW w:w="274" w:type="pct"/>
                  <w:vMerge w:val="continue"/>
                  <w:tcBorders>
                    <w:tl2br w:val="nil"/>
                    <w:tr2bl w:val="nil"/>
                  </w:tcBorders>
                  <w:noWrap w:val="0"/>
                  <w:vAlign w:val="center"/>
                </w:tcPr>
                <w:p w14:paraId="7C59AB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572" w:type="pct"/>
                  <w:vMerge w:val="continue"/>
                  <w:tcBorders>
                    <w:tl2br w:val="nil"/>
                    <w:tr2bl w:val="nil"/>
                  </w:tcBorders>
                  <w:noWrap w:val="0"/>
                  <w:vAlign w:val="center"/>
                </w:tcPr>
                <w:p w14:paraId="222325C5">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p>
              </w:tc>
              <w:tc>
                <w:tcPr>
                  <w:tcW w:w="937" w:type="pct"/>
                  <w:vMerge w:val="continue"/>
                  <w:tcBorders>
                    <w:tl2br w:val="nil"/>
                    <w:tr2bl w:val="nil"/>
                  </w:tcBorders>
                  <w:noWrap w:val="0"/>
                  <w:vAlign w:val="center"/>
                </w:tcPr>
                <w:p w14:paraId="575A5EB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421" w:type="pct"/>
                  <w:vMerge w:val="continue"/>
                  <w:tcBorders>
                    <w:tl2br w:val="nil"/>
                    <w:tr2bl w:val="nil"/>
                  </w:tcBorders>
                  <w:noWrap w:val="0"/>
                  <w:vAlign w:val="center"/>
                </w:tcPr>
                <w:p w14:paraId="714BCE23">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cs="Times New Roman"/>
                      <w:bCs/>
                      <w:color w:val="auto"/>
                      <w:sz w:val="21"/>
                      <w:szCs w:val="21"/>
                      <w:highlight w:val="none"/>
                      <w:lang w:val="en-US" w:eastAsia="zh-CN" w:bidi="ar"/>
                    </w:rPr>
                  </w:pPr>
                </w:p>
              </w:tc>
              <w:tc>
                <w:tcPr>
                  <w:tcW w:w="496" w:type="pct"/>
                  <w:vMerge w:val="continue"/>
                  <w:tcBorders>
                    <w:tl2br w:val="nil"/>
                    <w:tr2bl w:val="nil"/>
                  </w:tcBorders>
                  <w:noWrap w:val="0"/>
                  <w:vAlign w:val="center"/>
                </w:tcPr>
                <w:p w14:paraId="2510F7B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cs="Times New Roman"/>
                      <w:bCs/>
                      <w:color w:val="auto"/>
                      <w:sz w:val="21"/>
                      <w:szCs w:val="21"/>
                      <w:highlight w:val="none"/>
                      <w:lang w:val="en-US" w:eastAsia="zh-CN" w:bidi="ar"/>
                    </w:rPr>
                  </w:pPr>
                </w:p>
              </w:tc>
              <w:tc>
                <w:tcPr>
                  <w:tcW w:w="309" w:type="pct"/>
                  <w:vMerge w:val="continue"/>
                  <w:tcBorders>
                    <w:tl2br w:val="nil"/>
                    <w:tr2bl w:val="nil"/>
                  </w:tcBorders>
                  <w:noWrap w:val="0"/>
                  <w:vAlign w:val="center"/>
                </w:tcPr>
                <w:p w14:paraId="1490B004">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p>
              </w:tc>
              <w:tc>
                <w:tcPr>
                  <w:tcW w:w="450" w:type="pct"/>
                  <w:vMerge w:val="continue"/>
                  <w:tcBorders>
                    <w:tl2br w:val="nil"/>
                    <w:tr2bl w:val="nil"/>
                  </w:tcBorders>
                  <w:noWrap w:val="0"/>
                  <w:vAlign w:val="center"/>
                </w:tcPr>
                <w:p w14:paraId="15228C1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p>
              </w:tc>
              <w:tc>
                <w:tcPr>
                  <w:tcW w:w="764" w:type="pct"/>
                  <w:tcBorders>
                    <w:tl2br w:val="nil"/>
                    <w:tr2bl w:val="nil"/>
                  </w:tcBorders>
                  <w:noWrap w:val="0"/>
                  <w:vAlign w:val="center"/>
                </w:tcPr>
                <w:p w14:paraId="197DBCD7">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r>
          </w:tbl>
          <w:p w14:paraId="2B6BC5A7">
            <w:pPr>
              <w:pStyle w:val="50"/>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非正常情况排放量核算表</w:t>
            </w:r>
          </w:p>
          <w:tbl>
            <w:tblPr>
              <w:tblStyle w:val="28"/>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354"/>
              <w:gridCol w:w="1273"/>
              <w:gridCol w:w="1284"/>
              <w:gridCol w:w="917"/>
              <w:gridCol w:w="1756"/>
            </w:tblGrid>
            <w:tr w14:paraId="1B4AB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9" w:type="pct"/>
                  <w:tcBorders>
                    <w:tl2br w:val="nil"/>
                    <w:tr2bl w:val="nil"/>
                  </w:tcBorders>
                  <w:noWrap w:val="0"/>
                  <w:vAlign w:val="center"/>
                </w:tcPr>
                <w:p w14:paraId="260CA5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污染源</w:t>
                  </w:r>
                </w:p>
              </w:tc>
              <w:tc>
                <w:tcPr>
                  <w:tcW w:w="855" w:type="pct"/>
                  <w:tcBorders>
                    <w:tl2br w:val="nil"/>
                    <w:tr2bl w:val="nil"/>
                  </w:tcBorders>
                  <w:noWrap w:val="0"/>
                  <w:vAlign w:val="center"/>
                </w:tcPr>
                <w:p w14:paraId="2E72242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污染物</w:t>
                  </w:r>
                </w:p>
              </w:tc>
              <w:tc>
                <w:tcPr>
                  <w:tcW w:w="804" w:type="pct"/>
                  <w:tcBorders>
                    <w:tl2br w:val="nil"/>
                    <w:tr2bl w:val="nil"/>
                  </w:tcBorders>
                  <w:noWrap w:val="0"/>
                  <w:vAlign w:val="center"/>
                </w:tcPr>
                <w:p w14:paraId="39FA767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排放量</w:t>
                  </w:r>
                  <w:r>
                    <w:rPr>
                      <w:rFonts w:hint="default" w:ascii="Times New Roman" w:hAnsi="Times New Roman" w:eastAsia="宋体" w:cs="Times New Roman"/>
                      <w:b/>
                      <w:color w:val="auto"/>
                      <w:sz w:val="21"/>
                      <w:szCs w:val="21"/>
                      <w:highlight w:val="none"/>
                      <w:lang w:eastAsia="zh-CN" w:bidi="ar"/>
                    </w:rPr>
                    <w:t>（</w:t>
                  </w:r>
                  <w:r>
                    <w:rPr>
                      <w:rFonts w:hint="default" w:ascii="Times New Roman" w:hAnsi="Times New Roman" w:eastAsia="宋体" w:cs="Times New Roman"/>
                      <w:bCs/>
                      <w:color w:val="auto"/>
                      <w:sz w:val="21"/>
                      <w:szCs w:val="21"/>
                      <w:highlight w:val="none"/>
                      <w:lang w:bidi="ar"/>
                    </w:rPr>
                    <w:t>kg</w:t>
                  </w:r>
                  <w:r>
                    <w:rPr>
                      <w:rFonts w:hint="default" w:ascii="Times New Roman" w:hAnsi="Times New Roman" w:eastAsia="宋体" w:cs="Times New Roman"/>
                      <w:b/>
                      <w:color w:val="auto"/>
                      <w:sz w:val="21"/>
                      <w:szCs w:val="21"/>
                      <w:highlight w:val="none"/>
                      <w:lang w:eastAsia="zh-CN" w:bidi="ar"/>
                    </w:rPr>
                    <w:t>）</w:t>
                  </w:r>
                </w:p>
              </w:tc>
              <w:tc>
                <w:tcPr>
                  <w:tcW w:w="811" w:type="pct"/>
                  <w:tcBorders>
                    <w:tl2br w:val="nil"/>
                    <w:tr2bl w:val="nil"/>
                  </w:tcBorders>
                  <w:noWrap w:val="0"/>
                  <w:vAlign w:val="center"/>
                </w:tcPr>
                <w:p w14:paraId="5100BBB6">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eastAsia="zh-CN" w:bidi="ar"/>
                    </w:rPr>
                  </w:pPr>
                  <w:r>
                    <w:rPr>
                      <w:rFonts w:hint="default" w:ascii="Times New Roman" w:hAnsi="Times New Roman" w:eastAsia="宋体" w:cs="Times New Roman"/>
                      <w:b/>
                      <w:color w:val="auto"/>
                      <w:sz w:val="21"/>
                      <w:szCs w:val="21"/>
                      <w:highlight w:val="none"/>
                      <w:lang w:bidi="ar"/>
                    </w:rPr>
                    <w:t>排放浓度</w:t>
                  </w:r>
                  <w:r>
                    <w:rPr>
                      <w:rFonts w:hint="default" w:ascii="Times New Roman" w:hAnsi="Times New Roman" w:eastAsia="宋体" w:cs="Times New Roman"/>
                      <w:b/>
                      <w:color w:val="auto"/>
                      <w:sz w:val="21"/>
                      <w:szCs w:val="21"/>
                      <w:highlight w:val="none"/>
                      <w:lang w:eastAsia="zh-CN" w:bidi="ar"/>
                    </w:rPr>
                    <w:t>（</w:t>
                  </w:r>
                  <w:r>
                    <w:rPr>
                      <w:rFonts w:hint="default" w:ascii="Times New Roman" w:hAnsi="Times New Roman" w:eastAsia="宋体" w:cs="Times New Roman"/>
                      <w:bCs/>
                      <w:color w:val="auto"/>
                      <w:sz w:val="21"/>
                      <w:szCs w:val="21"/>
                      <w:highlight w:val="none"/>
                      <w:lang w:bidi="ar"/>
                    </w:rPr>
                    <w:t>mg/m</w:t>
                  </w:r>
                  <w:r>
                    <w:rPr>
                      <w:rFonts w:hint="default" w:ascii="Times New Roman" w:hAnsi="Times New Roman" w:eastAsia="宋体" w:cs="Times New Roman"/>
                      <w:bCs/>
                      <w:color w:val="auto"/>
                      <w:sz w:val="21"/>
                      <w:szCs w:val="21"/>
                      <w:highlight w:val="none"/>
                      <w:vertAlign w:val="superscript"/>
                      <w:lang w:bidi="ar"/>
                    </w:rPr>
                    <w:t>3</w:t>
                  </w:r>
                  <w:r>
                    <w:rPr>
                      <w:rFonts w:hint="default" w:ascii="Times New Roman" w:hAnsi="Times New Roman" w:eastAsia="宋体" w:cs="Times New Roman"/>
                      <w:b/>
                      <w:color w:val="auto"/>
                      <w:sz w:val="21"/>
                      <w:szCs w:val="21"/>
                      <w:highlight w:val="none"/>
                      <w:lang w:eastAsia="zh-CN" w:bidi="ar"/>
                    </w:rPr>
                    <w:t>）</w:t>
                  </w:r>
                </w:p>
              </w:tc>
              <w:tc>
                <w:tcPr>
                  <w:tcW w:w="579" w:type="pct"/>
                  <w:tcBorders>
                    <w:tl2br w:val="nil"/>
                    <w:tr2bl w:val="nil"/>
                  </w:tcBorders>
                  <w:noWrap w:val="0"/>
                  <w:vAlign w:val="center"/>
                </w:tcPr>
                <w:p w14:paraId="6888DE9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持续时间</w:t>
                  </w:r>
                </w:p>
              </w:tc>
              <w:tc>
                <w:tcPr>
                  <w:tcW w:w="1109" w:type="pct"/>
                  <w:tcBorders>
                    <w:tl2br w:val="nil"/>
                    <w:tr2bl w:val="nil"/>
                  </w:tcBorders>
                  <w:noWrap w:val="0"/>
                  <w:vAlign w:val="center"/>
                </w:tcPr>
                <w:p w14:paraId="5DEE74D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措施</w:t>
                  </w:r>
                </w:p>
              </w:tc>
            </w:tr>
            <w:tr w14:paraId="566EA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9" w:type="pct"/>
                  <w:vMerge w:val="restart"/>
                  <w:tcBorders>
                    <w:tl2br w:val="nil"/>
                    <w:tr2bl w:val="nil"/>
                  </w:tcBorders>
                  <w:noWrap w:val="0"/>
                  <w:vAlign w:val="center"/>
                </w:tcPr>
                <w:p w14:paraId="5F7600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bidi="ar"/>
                    </w:rPr>
                    <w:t>DA001</w:t>
                  </w:r>
                </w:p>
              </w:tc>
              <w:tc>
                <w:tcPr>
                  <w:tcW w:w="855" w:type="pct"/>
                  <w:tcBorders>
                    <w:tl2br w:val="nil"/>
                    <w:tr2bl w:val="nil"/>
                  </w:tcBorders>
                  <w:noWrap w:val="0"/>
                  <w:vAlign w:val="center"/>
                </w:tcPr>
                <w:p w14:paraId="39CBEB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
                    </w:rPr>
                  </w:pPr>
                  <w:r>
                    <w:rPr>
                      <w:rFonts w:hint="eastAsia" w:cs="Times New Roman"/>
                      <w:color w:val="auto"/>
                      <w:sz w:val="21"/>
                      <w:szCs w:val="21"/>
                      <w:highlight w:val="none"/>
                      <w:lang w:val="en-US" w:eastAsia="zh-CN"/>
                    </w:rPr>
                    <w:t>氯化氢</w:t>
                  </w:r>
                </w:p>
              </w:tc>
              <w:tc>
                <w:tcPr>
                  <w:tcW w:w="804" w:type="pct"/>
                  <w:tcBorders>
                    <w:tl2br w:val="nil"/>
                    <w:tr2bl w:val="nil"/>
                  </w:tcBorders>
                  <w:noWrap w:val="0"/>
                  <w:vAlign w:val="center"/>
                </w:tcPr>
                <w:p w14:paraId="5D1F54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21"/>
                      <w:szCs w:val="21"/>
                      <w:highlight w:val="none"/>
                      <w:lang w:val="en-US" w:eastAsia="zh-CN" w:bidi="ar"/>
                    </w:rPr>
                  </w:pPr>
                  <w:r>
                    <w:rPr>
                      <w:rFonts w:hint="default" w:cs="Times New Roman"/>
                      <w:color w:val="auto"/>
                      <w:sz w:val="21"/>
                      <w:szCs w:val="21"/>
                      <w:highlight w:val="none"/>
                      <w:lang w:val="en-US" w:eastAsia="zh-CN"/>
                    </w:rPr>
                    <w:t xml:space="preserve">0.000008 </w:t>
                  </w:r>
                </w:p>
              </w:tc>
              <w:tc>
                <w:tcPr>
                  <w:tcW w:w="811" w:type="pct"/>
                  <w:tcBorders>
                    <w:tl2br w:val="nil"/>
                    <w:tr2bl w:val="nil"/>
                  </w:tcBorders>
                  <w:noWrap w:val="0"/>
                  <w:vAlign w:val="center"/>
                </w:tcPr>
                <w:p w14:paraId="014D48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21"/>
                      <w:szCs w:val="21"/>
                      <w:highlight w:val="none"/>
                      <w:lang w:val="en-US" w:eastAsia="zh-CN" w:bidi="ar"/>
                    </w:rPr>
                  </w:pPr>
                  <w:r>
                    <w:rPr>
                      <w:rFonts w:hint="eastAsia" w:cs="Times New Roman"/>
                      <w:color w:val="auto"/>
                      <w:sz w:val="21"/>
                      <w:szCs w:val="21"/>
                      <w:highlight w:val="none"/>
                      <w:lang w:val="en-US" w:eastAsia="zh-CN"/>
                    </w:rPr>
                    <w:t xml:space="preserve">0.002 </w:t>
                  </w:r>
                </w:p>
              </w:tc>
              <w:tc>
                <w:tcPr>
                  <w:tcW w:w="579" w:type="pct"/>
                  <w:vMerge w:val="restart"/>
                  <w:tcBorders>
                    <w:tl2br w:val="nil"/>
                    <w:tr2bl w:val="nil"/>
                  </w:tcBorders>
                  <w:noWrap w:val="0"/>
                  <w:vAlign w:val="center"/>
                </w:tcPr>
                <w:p w14:paraId="2A308075">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val="en-US" w:eastAsia="zh-CN" w:bidi="ar"/>
                    </w:rPr>
                  </w:pPr>
                  <w:r>
                    <w:rPr>
                      <w:rFonts w:hint="default" w:ascii="Times New Roman" w:hAnsi="Times New Roman" w:eastAsia="宋体" w:cs="Times New Roman"/>
                      <w:bCs/>
                      <w:color w:val="auto"/>
                      <w:sz w:val="21"/>
                      <w:szCs w:val="21"/>
                      <w:highlight w:val="none"/>
                      <w:lang w:bidi="ar"/>
                    </w:rPr>
                    <w:t>1h</w:t>
                  </w:r>
                </w:p>
              </w:tc>
              <w:tc>
                <w:tcPr>
                  <w:tcW w:w="1109" w:type="pct"/>
                  <w:vMerge w:val="restart"/>
                  <w:tcBorders>
                    <w:tl2br w:val="nil"/>
                    <w:tr2bl w:val="nil"/>
                  </w:tcBorders>
                  <w:noWrap w:val="0"/>
                  <w:vAlign w:val="center"/>
                </w:tcPr>
                <w:p w14:paraId="435165D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bCs/>
                      <w:color w:val="auto"/>
                      <w:sz w:val="21"/>
                      <w:szCs w:val="21"/>
                      <w:highlight w:val="none"/>
                      <w:lang w:bidi="ar"/>
                    </w:rPr>
                  </w:pPr>
                  <w:r>
                    <w:rPr>
                      <w:rFonts w:hint="default" w:ascii="Times New Roman" w:hAnsi="Times New Roman" w:eastAsia="宋体" w:cs="Times New Roman"/>
                      <w:bCs/>
                      <w:color w:val="auto"/>
                      <w:sz w:val="21"/>
                      <w:szCs w:val="21"/>
                      <w:highlight w:val="none"/>
                      <w:lang w:bidi="ar"/>
                    </w:rPr>
                    <w:t>停产检修，待恢复正常且污染物监测达标后方可继续生产</w:t>
                  </w:r>
                </w:p>
              </w:tc>
            </w:tr>
            <w:tr w14:paraId="30B41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9" w:type="pct"/>
                  <w:vMerge w:val="continue"/>
                  <w:tcBorders>
                    <w:tl2br w:val="nil"/>
                    <w:tr2bl w:val="nil"/>
                  </w:tcBorders>
                  <w:noWrap w:val="0"/>
                  <w:vAlign w:val="center"/>
                </w:tcPr>
                <w:p w14:paraId="150A8F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855" w:type="pct"/>
                  <w:tcBorders>
                    <w:tl2br w:val="nil"/>
                    <w:tr2bl w:val="nil"/>
                  </w:tcBorders>
                  <w:noWrap w:val="0"/>
                  <w:vAlign w:val="center"/>
                </w:tcPr>
                <w:p w14:paraId="1FE425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21"/>
                      <w:szCs w:val="21"/>
                      <w:highlight w:val="none"/>
                      <w:lang w:val="en-US" w:eastAsia="zh-CN" w:bidi="ar"/>
                    </w:rPr>
                  </w:pPr>
                  <w:r>
                    <w:rPr>
                      <w:rFonts w:hint="eastAsia" w:cs="Times New Roman"/>
                      <w:color w:val="auto"/>
                      <w:sz w:val="21"/>
                      <w:szCs w:val="21"/>
                      <w:highlight w:val="none"/>
                      <w:lang w:val="en-US" w:eastAsia="zh-CN"/>
                    </w:rPr>
                    <w:t>硫酸雾</w:t>
                  </w:r>
                </w:p>
              </w:tc>
              <w:tc>
                <w:tcPr>
                  <w:tcW w:w="804" w:type="pct"/>
                  <w:tcBorders>
                    <w:tl2br w:val="nil"/>
                    <w:tr2bl w:val="nil"/>
                  </w:tcBorders>
                  <w:noWrap w:val="0"/>
                  <w:vAlign w:val="center"/>
                </w:tcPr>
                <w:p w14:paraId="68C62CD7">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 xml:space="preserve">0.00118 </w:t>
                  </w:r>
                </w:p>
              </w:tc>
              <w:tc>
                <w:tcPr>
                  <w:tcW w:w="811" w:type="pct"/>
                  <w:tcBorders>
                    <w:tl2br w:val="nil"/>
                    <w:tr2bl w:val="nil"/>
                  </w:tcBorders>
                  <w:noWrap w:val="0"/>
                  <w:vAlign w:val="center"/>
                </w:tcPr>
                <w:p w14:paraId="4EDF3660">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0.237 </w:t>
                  </w:r>
                </w:p>
              </w:tc>
              <w:tc>
                <w:tcPr>
                  <w:tcW w:w="579" w:type="pct"/>
                  <w:vMerge w:val="continue"/>
                  <w:tcBorders>
                    <w:tl2br w:val="nil"/>
                    <w:tr2bl w:val="nil"/>
                  </w:tcBorders>
                  <w:noWrap w:val="0"/>
                  <w:vAlign w:val="center"/>
                </w:tcPr>
                <w:p w14:paraId="0F1466E5">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1109" w:type="pct"/>
                  <w:vMerge w:val="continue"/>
                  <w:tcBorders>
                    <w:tl2br w:val="nil"/>
                    <w:tr2bl w:val="nil"/>
                  </w:tcBorders>
                  <w:noWrap w:val="0"/>
                  <w:vAlign w:val="center"/>
                </w:tcPr>
                <w:p w14:paraId="43F8FD6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bCs/>
                      <w:color w:val="auto"/>
                      <w:sz w:val="21"/>
                      <w:szCs w:val="21"/>
                      <w:highlight w:val="none"/>
                      <w:lang w:bidi="ar"/>
                    </w:rPr>
                  </w:pPr>
                </w:p>
              </w:tc>
            </w:tr>
            <w:tr w14:paraId="0E946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9" w:type="pct"/>
                  <w:vMerge w:val="continue"/>
                  <w:tcBorders>
                    <w:tl2br w:val="nil"/>
                    <w:tr2bl w:val="nil"/>
                  </w:tcBorders>
                  <w:noWrap w:val="0"/>
                  <w:vAlign w:val="center"/>
                </w:tcPr>
                <w:p w14:paraId="6DCCD8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855" w:type="pct"/>
                  <w:tcBorders>
                    <w:tl2br w:val="nil"/>
                    <w:tr2bl w:val="nil"/>
                  </w:tcBorders>
                  <w:noWrap w:val="0"/>
                  <w:vAlign w:val="center"/>
                </w:tcPr>
                <w:p w14:paraId="265F14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21"/>
                      <w:szCs w:val="21"/>
                      <w:highlight w:val="none"/>
                      <w:lang w:val="en-US" w:eastAsia="zh-CN" w:bidi="ar"/>
                    </w:rPr>
                  </w:pPr>
                  <w:r>
                    <w:rPr>
                      <w:rFonts w:hint="eastAsia" w:cs="Times New Roman"/>
                      <w:color w:val="auto"/>
                      <w:sz w:val="21"/>
                      <w:szCs w:val="21"/>
                      <w:highlight w:val="none"/>
                      <w:lang w:val="en-US" w:eastAsia="zh-CN"/>
                    </w:rPr>
                    <w:t>氟化物</w:t>
                  </w:r>
                </w:p>
              </w:tc>
              <w:tc>
                <w:tcPr>
                  <w:tcW w:w="804" w:type="pct"/>
                  <w:tcBorders>
                    <w:tl2br w:val="nil"/>
                    <w:tr2bl w:val="nil"/>
                  </w:tcBorders>
                  <w:noWrap w:val="0"/>
                  <w:vAlign w:val="center"/>
                </w:tcPr>
                <w:p w14:paraId="221B83B3">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 xml:space="preserve">0.00054 </w:t>
                  </w:r>
                </w:p>
              </w:tc>
              <w:tc>
                <w:tcPr>
                  <w:tcW w:w="811" w:type="pct"/>
                  <w:tcBorders>
                    <w:tl2br w:val="nil"/>
                    <w:tr2bl w:val="nil"/>
                  </w:tcBorders>
                  <w:noWrap w:val="0"/>
                  <w:vAlign w:val="center"/>
                </w:tcPr>
                <w:p w14:paraId="78B922AF">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0.108 </w:t>
                  </w:r>
                </w:p>
              </w:tc>
              <w:tc>
                <w:tcPr>
                  <w:tcW w:w="579" w:type="pct"/>
                  <w:vMerge w:val="continue"/>
                  <w:tcBorders>
                    <w:tl2br w:val="nil"/>
                    <w:tr2bl w:val="nil"/>
                  </w:tcBorders>
                  <w:noWrap w:val="0"/>
                  <w:vAlign w:val="center"/>
                </w:tcPr>
                <w:p w14:paraId="4D2662F4">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1109" w:type="pct"/>
                  <w:vMerge w:val="continue"/>
                  <w:tcBorders>
                    <w:tl2br w:val="nil"/>
                    <w:tr2bl w:val="nil"/>
                  </w:tcBorders>
                  <w:noWrap w:val="0"/>
                  <w:vAlign w:val="center"/>
                </w:tcPr>
                <w:p w14:paraId="3126B5B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bCs/>
                      <w:color w:val="auto"/>
                      <w:sz w:val="21"/>
                      <w:szCs w:val="21"/>
                      <w:highlight w:val="none"/>
                      <w:lang w:bidi="ar"/>
                    </w:rPr>
                  </w:pPr>
                </w:p>
              </w:tc>
            </w:tr>
            <w:tr w14:paraId="06F80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9" w:type="pct"/>
                  <w:vMerge w:val="continue"/>
                  <w:tcBorders>
                    <w:tl2br w:val="nil"/>
                    <w:tr2bl w:val="nil"/>
                  </w:tcBorders>
                  <w:noWrap w:val="0"/>
                  <w:vAlign w:val="center"/>
                </w:tcPr>
                <w:p w14:paraId="18CD7F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855" w:type="pct"/>
                  <w:tcBorders>
                    <w:tl2br w:val="nil"/>
                    <w:tr2bl w:val="nil"/>
                  </w:tcBorders>
                  <w:noWrap w:val="0"/>
                  <w:vAlign w:val="center"/>
                </w:tcPr>
                <w:p w14:paraId="084CB1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21"/>
                      <w:szCs w:val="21"/>
                      <w:highlight w:val="none"/>
                      <w:lang w:val="en-US" w:eastAsia="zh-CN" w:bidi="ar"/>
                    </w:rPr>
                  </w:pPr>
                  <w:r>
                    <w:rPr>
                      <w:rFonts w:hint="eastAsia" w:cs="Times New Roman"/>
                      <w:color w:val="auto"/>
                      <w:sz w:val="21"/>
                      <w:szCs w:val="21"/>
                      <w:highlight w:val="none"/>
                      <w:lang w:val="en-US" w:eastAsia="zh-CN"/>
                    </w:rPr>
                    <w:t>氮氧化物</w:t>
                  </w:r>
                </w:p>
              </w:tc>
              <w:tc>
                <w:tcPr>
                  <w:tcW w:w="804" w:type="pct"/>
                  <w:tcBorders>
                    <w:tl2br w:val="nil"/>
                    <w:tr2bl w:val="nil"/>
                  </w:tcBorders>
                  <w:noWrap w:val="0"/>
                  <w:vAlign w:val="center"/>
                </w:tcPr>
                <w:p w14:paraId="04C29C9D">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 xml:space="preserve">0.01089 </w:t>
                  </w:r>
                </w:p>
              </w:tc>
              <w:tc>
                <w:tcPr>
                  <w:tcW w:w="811" w:type="pct"/>
                  <w:tcBorders>
                    <w:tl2br w:val="nil"/>
                    <w:tr2bl w:val="nil"/>
                  </w:tcBorders>
                  <w:noWrap w:val="0"/>
                  <w:vAlign w:val="center"/>
                </w:tcPr>
                <w:p w14:paraId="13141EC9">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2.178 </w:t>
                  </w:r>
                </w:p>
              </w:tc>
              <w:tc>
                <w:tcPr>
                  <w:tcW w:w="579" w:type="pct"/>
                  <w:vMerge w:val="continue"/>
                  <w:tcBorders>
                    <w:tl2br w:val="nil"/>
                    <w:tr2bl w:val="nil"/>
                  </w:tcBorders>
                  <w:noWrap w:val="0"/>
                  <w:vAlign w:val="center"/>
                </w:tcPr>
                <w:p w14:paraId="272256F7">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1109" w:type="pct"/>
                  <w:vMerge w:val="continue"/>
                  <w:tcBorders>
                    <w:tl2br w:val="nil"/>
                    <w:tr2bl w:val="nil"/>
                  </w:tcBorders>
                  <w:noWrap w:val="0"/>
                  <w:vAlign w:val="center"/>
                </w:tcPr>
                <w:p w14:paraId="06ECC31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bCs/>
                      <w:color w:val="auto"/>
                      <w:sz w:val="21"/>
                      <w:szCs w:val="21"/>
                      <w:highlight w:val="none"/>
                      <w:lang w:bidi="ar"/>
                    </w:rPr>
                  </w:pPr>
                </w:p>
              </w:tc>
            </w:tr>
            <w:tr w14:paraId="04D33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9" w:type="pct"/>
                  <w:vMerge w:val="continue"/>
                  <w:tcBorders>
                    <w:tl2br w:val="nil"/>
                    <w:tr2bl w:val="nil"/>
                  </w:tcBorders>
                  <w:noWrap w:val="0"/>
                  <w:vAlign w:val="center"/>
                </w:tcPr>
                <w:p w14:paraId="30D2C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855" w:type="pct"/>
                  <w:tcBorders>
                    <w:tl2br w:val="nil"/>
                    <w:tr2bl w:val="nil"/>
                  </w:tcBorders>
                  <w:noWrap w:val="0"/>
                  <w:vAlign w:val="center"/>
                </w:tcPr>
                <w:p w14:paraId="39C7EE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21"/>
                      <w:szCs w:val="21"/>
                      <w:highlight w:val="none"/>
                      <w:lang w:val="en-US" w:eastAsia="zh-CN" w:bidi="ar"/>
                    </w:rPr>
                  </w:pPr>
                  <w:r>
                    <w:rPr>
                      <w:rFonts w:hint="default" w:ascii="Times New Roman" w:hAnsi="Times New Roman" w:eastAsia="宋体" w:cs="Times New Roman"/>
                      <w:bCs/>
                      <w:color w:val="auto"/>
                      <w:sz w:val="21"/>
                      <w:szCs w:val="21"/>
                      <w:highlight w:val="none"/>
                      <w:lang w:bidi="ar"/>
                    </w:rPr>
                    <w:t>非甲烷总烃</w:t>
                  </w:r>
                </w:p>
              </w:tc>
              <w:tc>
                <w:tcPr>
                  <w:tcW w:w="804" w:type="pct"/>
                  <w:tcBorders>
                    <w:tl2br w:val="nil"/>
                    <w:tr2bl w:val="nil"/>
                  </w:tcBorders>
                  <w:noWrap w:val="0"/>
                  <w:vAlign w:val="center"/>
                </w:tcPr>
                <w:p w14:paraId="46305754">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 xml:space="preserve">0.00036 </w:t>
                  </w:r>
                </w:p>
              </w:tc>
              <w:tc>
                <w:tcPr>
                  <w:tcW w:w="811" w:type="pct"/>
                  <w:tcBorders>
                    <w:tl2br w:val="nil"/>
                    <w:tr2bl w:val="nil"/>
                  </w:tcBorders>
                  <w:noWrap w:val="0"/>
                  <w:vAlign w:val="center"/>
                </w:tcPr>
                <w:p w14:paraId="5937B0F4">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0.072 </w:t>
                  </w:r>
                </w:p>
              </w:tc>
              <w:tc>
                <w:tcPr>
                  <w:tcW w:w="579" w:type="pct"/>
                  <w:vMerge w:val="continue"/>
                  <w:tcBorders>
                    <w:tl2br w:val="nil"/>
                    <w:tr2bl w:val="nil"/>
                  </w:tcBorders>
                  <w:noWrap w:val="0"/>
                  <w:vAlign w:val="center"/>
                </w:tcPr>
                <w:p w14:paraId="47EE2631">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 w:val="21"/>
                      <w:szCs w:val="21"/>
                      <w:highlight w:val="none"/>
                      <w:lang w:bidi="ar"/>
                    </w:rPr>
                  </w:pPr>
                </w:p>
              </w:tc>
              <w:tc>
                <w:tcPr>
                  <w:tcW w:w="1109" w:type="pct"/>
                  <w:vMerge w:val="continue"/>
                  <w:tcBorders>
                    <w:tl2br w:val="nil"/>
                    <w:tr2bl w:val="nil"/>
                  </w:tcBorders>
                  <w:noWrap w:val="0"/>
                  <w:vAlign w:val="center"/>
                </w:tcPr>
                <w:p w14:paraId="6A15AD4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bCs/>
                      <w:color w:val="auto"/>
                      <w:sz w:val="21"/>
                      <w:szCs w:val="21"/>
                      <w:highlight w:val="none"/>
                      <w:lang w:bidi="ar"/>
                    </w:rPr>
                  </w:pPr>
                </w:p>
              </w:tc>
            </w:tr>
          </w:tbl>
          <w:p w14:paraId="266B0A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rPr>
              <w:t>技术可行性分析</w:t>
            </w:r>
          </w:p>
          <w:p w14:paraId="510A8A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40" w:firstLineChars="200"/>
              <w:textAlignment w:val="auto"/>
              <w:outlineLvl w:val="9"/>
              <w:rPr>
                <w:rFonts w:hint="eastAsia"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bCs/>
                <w:color w:val="auto"/>
                <w:spacing w:val="-10"/>
                <w:sz w:val="24"/>
                <w:szCs w:val="24"/>
                <w:highlight w:val="none"/>
              </w:rPr>
              <w:t>根据</w:t>
            </w:r>
            <w:r>
              <w:rPr>
                <w:rFonts w:hint="default" w:ascii="Times New Roman" w:hAnsi="Times New Roman" w:eastAsia="宋体" w:cs="Times New Roman"/>
                <w:bCs/>
                <w:color w:val="auto"/>
                <w:kern w:val="0"/>
                <w:sz w:val="24"/>
                <w:szCs w:val="24"/>
                <w:highlight w:val="none"/>
                <w:lang w:val="en-US" w:eastAsia="zh-CN" w:bidi="ar"/>
              </w:rPr>
              <w:t>《排放源统计调查产排污核算方法和系数手册》（公告2021年第24号）</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color w:val="auto"/>
                <w:kern w:val="2"/>
                <w:sz w:val="24"/>
                <w:szCs w:val="24"/>
                <w:highlight w:val="none"/>
                <w:lang w:val="en-US" w:eastAsia="zh-CN" w:bidi="ar"/>
              </w:rPr>
              <w:t>-机械行业系数手册，焊接工序产生的颗粒物可行技术包括</w:t>
            </w:r>
            <w:r>
              <w:rPr>
                <w:rFonts w:hint="eastAsia" w:ascii="Times New Roman" w:hAnsi="Times New Roman" w:eastAsia="宋体" w:cs="Times New Roman"/>
                <w:color w:val="auto"/>
                <w:kern w:val="2"/>
                <w:sz w:val="24"/>
                <w:szCs w:val="24"/>
                <w:highlight w:val="none"/>
                <w:lang w:val="en-US" w:eastAsia="zh-CN" w:bidi="ar"/>
              </w:rPr>
              <w:t>焊烟净化器。</w:t>
            </w:r>
          </w:p>
          <w:p w14:paraId="014D81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实验室废气经通风橱+二级活性炭吸附装置处理后由41米高排气筒DA001排放。</w:t>
            </w:r>
          </w:p>
          <w:p w14:paraId="58F04B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喷淋塔工作原理为：废气由风管引入净化塔，经过填料，废气从塔底送入，经气体分布装置分布后与吸收液呈逆流连续通过填料层的空隙。在填料表面上，气液两相充分接触吸收中和反应，以吸附废气中所含的有机废气、酸性或碱性污物。废气经净化后，再经除雾板脱水除雾后将清洁气体从风机排入大气。吸收液在塔底经水泵增压后在塔喷淋而下，最后回流至塔底循环使用。</w:t>
            </w:r>
          </w:p>
          <w:p w14:paraId="1EBDB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活性炭具有多孔结构，为其提供了大量的表面积，使其具有较强的吸附能力，当废气经过活性炭时污染物被其吸附，从而起到净化废气的作用。通过源强核算，实验室废气经处理后可达标排放。</w:t>
            </w:r>
          </w:p>
          <w:p w14:paraId="0B40D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Cs/>
                <w:color w:val="auto"/>
                <w:sz w:val="24"/>
                <w:szCs w:val="24"/>
                <w:highlight w:val="none"/>
              </w:rPr>
            </w:pPr>
            <w:r>
              <w:rPr>
                <w:rFonts w:hint="eastAsia" w:cs="Times New Roman"/>
                <w:color w:val="auto"/>
                <w:kern w:val="0"/>
                <w:sz w:val="24"/>
                <w:szCs w:val="24"/>
                <w:highlight w:val="none"/>
                <w:lang w:val="en-US" w:eastAsia="zh-CN" w:bidi="ar"/>
              </w:rPr>
              <w:t>综上所述，本项目</w:t>
            </w:r>
            <w:r>
              <w:rPr>
                <w:rFonts w:hint="default" w:ascii="Times New Roman" w:hAnsi="Times New Roman" w:eastAsia="宋体" w:cs="Times New Roman"/>
                <w:color w:val="auto"/>
                <w:sz w:val="24"/>
                <w:szCs w:val="24"/>
                <w:highlight w:val="none"/>
                <w:lang w:val="en-US" w:eastAsia="zh-CN"/>
              </w:rPr>
              <w:t>废气处理效率技术可行</w:t>
            </w:r>
            <w:r>
              <w:rPr>
                <w:rFonts w:hint="default" w:ascii="Times New Roman" w:hAnsi="Times New Roman" w:eastAsia="宋体" w:cs="Times New Roman"/>
                <w:bCs/>
                <w:color w:val="auto"/>
                <w:sz w:val="24"/>
                <w:szCs w:val="24"/>
                <w:highlight w:val="none"/>
              </w:rPr>
              <w:t>。</w:t>
            </w:r>
          </w:p>
          <w:p w14:paraId="59712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 w:val="0"/>
                <w:bCs w:val="0"/>
                <w:color w:val="auto"/>
                <w:kern w:val="0"/>
                <w:sz w:val="24"/>
                <w:szCs w:val="24"/>
                <w:highlight w:val="none"/>
                <w:lang w:val="en-US" w:eastAsia="zh-CN" w:bidi="ar"/>
              </w:rPr>
              <w:t>排气筒设置合理性分析</w:t>
            </w:r>
            <w:r>
              <w:rPr>
                <w:rFonts w:hint="default" w:ascii="Times New Roman" w:hAnsi="Times New Roman" w:eastAsia="宋体" w:cs="Times New Roman"/>
                <w:b w:val="0"/>
                <w:bCs w:val="0"/>
                <w:color w:val="auto"/>
                <w:kern w:val="0"/>
                <w:sz w:val="24"/>
                <w:szCs w:val="24"/>
                <w:highlight w:val="none"/>
                <w:lang w:val="en-US" w:eastAsia="zh-CN" w:bidi="ar"/>
              </w:rPr>
              <w:t xml:space="preserve"> </w:t>
            </w:r>
          </w:p>
          <w:p w14:paraId="593D95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本项目实验室废气经通风橱+碱式喷淋塔+二级活性炭吸附装置处理后由41米高排气筒DA001排放</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val="en-US" w:eastAsia="zh-CN" w:bidi="ar"/>
              </w:rPr>
              <w:t>根据《大气污染物综合排放标准》（GB 16297-1996）中“7.4新污染源的排气筒一般不应低于15</w:t>
            </w:r>
            <w:r>
              <w:rPr>
                <w:rFonts w:hint="eastAsia" w:cs="Times New Roman"/>
                <w:color w:val="auto"/>
                <w:kern w:val="0"/>
                <w:sz w:val="24"/>
                <w:szCs w:val="24"/>
                <w:highlight w:val="none"/>
                <w:lang w:val="en-US" w:eastAsia="zh-CN" w:bidi="ar"/>
              </w:rPr>
              <w:t>米</w:t>
            </w:r>
            <w:r>
              <w:rPr>
                <w:rFonts w:hint="default" w:ascii="Times New Roman" w:hAnsi="Times New Roman" w:eastAsia="宋体" w:cs="Times New Roman"/>
                <w:color w:val="auto"/>
                <w:kern w:val="0"/>
                <w:sz w:val="24"/>
                <w:szCs w:val="24"/>
                <w:highlight w:val="none"/>
                <w:lang w:val="en-US" w:eastAsia="zh-CN" w:bidi="ar"/>
              </w:rPr>
              <w:t>；7.1排气筒高度除须遵守表列排放速率标准值外，还应高出周围200</w:t>
            </w:r>
            <w:r>
              <w:rPr>
                <w:rFonts w:hint="eastAsia" w:cs="Times New Roman"/>
                <w:color w:val="auto"/>
                <w:kern w:val="0"/>
                <w:sz w:val="24"/>
                <w:szCs w:val="24"/>
                <w:highlight w:val="none"/>
                <w:lang w:val="en-US" w:eastAsia="zh-CN" w:bidi="ar"/>
              </w:rPr>
              <w:t>米</w:t>
            </w:r>
            <w:r>
              <w:rPr>
                <w:rFonts w:hint="default" w:ascii="Times New Roman" w:hAnsi="Times New Roman" w:eastAsia="宋体" w:cs="Times New Roman"/>
                <w:color w:val="auto"/>
                <w:kern w:val="0"/>
                <w:sz w:val="24"/>
                <w:szCs w:val="24"/>
                <w:highlight w:val="none"/>
                <w:lang w:val="en-US" w:eastAsia="zh-CN" w:bidi="ar"/>
              </w:rPr>
              <w:t>半径范围的建筑5</w:t>
            </w:r>
            <w:r>
              <w:rPr>
                <w:rFonts w:hint="eastAsia" w:cs="Times New Roman"/>
                <w:color w:val="auto"/>
                <w:kern w:val="0"/>
                <w:sz w:val="24"/>
                <w:szCs w:val="24"/>
                <w:highlight w:val="none"/>
                <w:lang w:val="en-US" w:eastAsia="zh-CN" w:bidi="ar"/>
              </w:rPr>
              <w:t>米</w:t>
            </w:r>
            <w:r>
              <w:rPr>
                <w:rFonts w:hint="default" w:ascii="Times New Roman" w:hAnsi="Times New Roman" w:eastAsia="宋体" w:cs="Times New Roman"/>
                <w:color w:val="auto"/>
                <w:kern w:val="0"/>
                <w:sz w:val="24"/>
                <w:szCs w:val="24"/>
                <w:highlight w:val="none"/>
                <w:lang w:val="en-US" w:eastAsia="zh-CN" w:bidi="ar"/>
              </w:rPr>
              <w:t>以上，不能达到该要求的排气筒，应按其高度对应的表列排放速率标准值严格50%执行。”本项目200</w:t>
            </w:r>
            <w:r>
              <w:rPr>
                <w:rFonts w:hint="eastAsia" w:cs="Times New Roman"/>
                <w:color w:val="auto"/>
                <w:kern w:val="0"/>
                <w:sz w:val="24"/>
                <w:szCs w:val="24"/>
                <w:highlight w:val="none"/>
                <w:lang w:val="en-US" w:eastAsia="zh-CN" w:bidi="ar"/>
              </w:rPr>
              <w:t>米</w:t>
            </w:r>
            <w:r>
              <w:rPr>
                <w:rFonts w:hint="default" w:ascii="Times New Roman" w:hAnsi="Times New Roman" w:eastAsia="宋体" w:cs="Times New Roman"/>
                <w:color w:val="auto"/>
                <w:kern w:val="0"/>
                <w:sz w:val="24"/>
                <w:szCs w:val="24"/>
                <w:highlight w:val="none"/>
                <w:lang w:val="en-US" w:eastAsia="zh-CN" w:bidi="ar"/>
              </w:rPr>
              <w:t>半径范围的建筑高度最高为</w:t>
            </w:r>
            <w:r>
              <w:rPr>
                <w:rFonts w:hint="eastAsia" w:ascii="Times New Roman" w:hAnsi="Times New Roman" w:eastAsia="宋体" w:cs="Times New Roman"/>
                <w:color w:val="auto"/>
                <w:kern w:val="0"/>
                <w:sz w:val="24"/>
                <w:szCs w:val="24"/>
                <w:highlight w:val="none"/>
                <w:lang w:val="en-US" w:eastAsia="zh-CN" w:bidi="ar"/>
              </w:rPr>
              <w:t>35.4</w:t>
            </w:r>
            <w:r>
              <w:rPr>
                <w:rFonts w:hint="eastAsia" w:cs="Times New Roman"/>
                <w:color w:val="auto"/>
                <w:kern w:val="0"/>
                <w:sz w:val="24"/>
                <w:szCs w:val="24"/>
                <w:highlight w:val="none"/>
                <w:lang w:val="en-US" w:eastAsia="zh-CN" w:bidi="ar"/>
              </w:rPr>
              <w:t>米</w:t>
            </w:r>
            <w:r>
              <w:rPr>
                <w:rFonts w:hint="default" w:ascii="Times New Roman" w:hAnsi="Times New Roman" w:eastAsia="宋体" w:cs="Times New Roman"/>
                <w:color w:val="auto"/>
                <w:kern w:val="0"/>
                <w:sz w:val="24"/>
                <w:szCs w:val="24"/>
                <w:highlight w:val="none"/>
                <w:lang w:val="en-US" w:eastAsia="zh-CN" w:bidi="ar"/>
              </w:rPr>
              <w:t>，故废气排气筒设置</w:t>
            </w:r>
            <w:r>
              <w:rPr>
                <w:rFonts w:hint="eastAsia" w:cs="Times New Roman"/>
                <w:color w:val="auto"/>
                <w:kern w:val="0"/>
                <w:sz w:val="24"/>
                <w:szCs w:val="24"/>
                <w:highlight w:val="none"/>
                <w:lang w:val="en-US" w:eastAsia="zh-CN" w:bidi="ar"/>
              </w:rPr>
              <w:t>41米</w:t>
            </w:r>
            <w:r>
              <w:rPr>
                <w:rFonts w:hint="default" w:ascii="Times New Roman" w:hAnsi="Times New Roman" w:eastAsia="宋体" w:cs="Times New Roman"/>
                <w:color w:val="auto"/>
                <w:kern w:val="0"/>
                <w:sz w:val="24"/>
                <w:szCs w:val="24"/>
                <w:highlight w:val="none"/>
                <w:lang w:val="en-US" w:eastAsia="zh-CN" w:bidi="ar"/>
              </w:rPr>
              <w:t>是合理的</w:t>
            </w:r>
          </w:p>
          <w:p w14:paraId="3E5F16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rPr>
              <w:t>废气监测计划</w:t>
            </w:r>
          </w:p>
          <w:p w14:paraId="13C721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textAlignment w:val="auto"/>
              <w:outlineLvl w:val="9"/>
              <w:rPr>
                <w:rFonts w:hint="default" w:ascii="Times New Roman" w:hAnsi="Times New Roman" w:eastAsia="宋体" w:cs="Times New Roman"/>
                <w:b w:val="0"/>
                <w:color w:val="auto"/>
                <w:kern w:val="2"/>
                <w:sz w:val="24"/>
                <w:szCs w:val="24"/>
                <w:highlight w:val="none"/>
                <w:shd w:val="clear" w:color="auto" w:fill="FFFFFF"/>
                <w:lang w:val="en-US" w:eastAsia="zh-CN" w:bidi="ar-SA"/>
              </w:rPr>
            </w:pPr>
            <w:r>
              <w:rPr>
                <w:rFonts w:hint="default" w:ascii="Times New Roman" w:hAnsi="Times New Roman" w:eastAsia="宋体" w:cs="Times New Roman"/>
                <w:b w:val="0"/>
                <w:color w:val="auto"/>
                <w:kern w:val="2"/>
                <w:sz w:val="24"/>
                <w:szCs w:val="24"/>
                <w:highlight w:val="none"/>
                <w:shd w:val="clear" w:color="auto" w:fill="FFFFFF"/>
                <w:lang w:val="en-US" w:eastAsia="zh-CN" w:bidi="ar-SA"/>
              </w:rPr>
              <w:t>根据《排污许可证申请与核发技术规范 总则》HJ 942-2018、《排污单位自行监测技术指南 总则》HJ 819-2017相关内容，废气监测计划如下：</w:t>
            </w:r>
          </w:p>
          <w:p w14:paraId="5D2EE5E4">
            <w:pPr>
              <w:pStyle w:val="50"/>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val="en-US" w:eastAsia="zh-CN"/>
              </w:rPr>
              <w:t>运营期</w:t>
            </w:r>
            <w:r>
              <w:rPr>
                <w:rFonts w:hint="default" w:ascii="Times New Roman" w:hAnsi="Times New Roman" w:eastAsia="宋体" w:cs="Times New Roman"/>
                <w:b/>
                <w:bCs/>
                <w:color w:val="auto"/>
                <w:sz w:val="21"/>
                <w:szCs w:val="21"/>
                <w:highlight w:val="none"/>
              </w:rPr>
              <w:t>废气监测计划一览表</w:t>
            </w:r>
          </w:p>
          <w:tbl>
            <w:tblPr>
              <w:tblStyle w:val="2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2507"/>
              <w:gridCol w:w="2369"/>
              <w:gridCol w:w="1717"/>
            </w:tblGrid>
            <w:tr w14:paraId="7844C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5" w:type="pct"/>
                  <w:tcBorders>
                    <w:tl2br w:val="nil"/>
                    <w:tr2bl w:val="nil"/>
                  </w:tcBorders>
                  <w:noWrap w:val="0"/>
                  <w:vAlign w:val="center"/>
                </w:tcPr>
                <w:p w14:paraId="030835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污染源名称</w:t>
                  </w:r>
                </w:p>
              </w:tc>
              <w:tc>
                <w:tcPr>
                  <w:tcW w:w="1583" w:type="pct"/>
                  <w:tcBorders>
                    <w:tl2br w:val="nil"/>
                    <w:tr2bl w:val="nil"/>
                  </w:tcBorders>
                  <w:noWrap w:val="0"/>
                  <w:vAlign w:val="center"/>
                </w:tcPr>
                <w:p w14:paraId="33C4D8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1496" w:type="pct"/>
                  <w:tcBorders>
                    <w:tl2br w:val="nil"/>
                    <w:tr2bl w:val="nil"/>
                  </w:tcBorders>
                  <w:noWrap w:val="0"/>
                  <w:vAlign w:val="center"/>
                </w:tcPr>
                <w:p w14:paraId="076AB1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w:t>
                  </w:r>
                </w:p>
              </w:tc>
              <w:tc>
                <w:tcPr>
                  <w:tcW w:w="1084" w:type="pct"/>
                  <w:tcBorders>
                    <w:tl2br w:val="nil"/>
                    <w:tr2bl w:val="nil"/>
                  </w:tcBorders>
                  <w:noWrap w:val="0"/>
                  <w:vAlign w:val="center"/>
                </w:tcPr>
                <w:p w14:paraId="56B16F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监测频次</w:t>
                  </w:r>
                </w:p>
              </w:tc>
            </w:tr>
            <w:tr w14:paraId="6EFA4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5" w:type="pct"/>
                  <w:tcBorders>
                    <w:tl2br w:val="nil"/>
                    <w:tr2bl w:val="nil"/>
                  </w:tcBorders>
                  <w:noWrap w:val="0"/>
                  <w:vAlign w:val="center"/>
                </w:tcPr>
                <w:p w14:paraId="19DC87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有组织废气</w:t>
                  </w:r>
                </w:p>
              </w:tc>
              <w:tc>
                <w:tcPr>
                  <w:tcW w:w="1583" w:type="pct"/>
                  <w:tcBorders>
                    <w:tl2br w:val="nil"/>
                    <w:tr2bl w:val="nil"/>
                  </w:tcBorders>
                  <w:noWrap w:val="0"/>
                  <w:vAlign w:val="center"/>
                </w:tcPr>
                <w:p w14:paraId="75C9A6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氯化氢、硫酸雾、氟化物、氮氧化物、</w:t>
                  </w:r>
                  <w:r>
                    <w:rPr>
                      <w:rFonts w:hint="default" w:ascii="Times New Roman" w:hAnsi="Times New Roman" w:eastAsia="宋体" w:cs="Times New Roman"/>
                      <w:bCs/>
                      <w:color w:val="auto"/>
                      <w:sz w:val="21"/>
                      <w:szCs w:val="21"/>
                      <w:highlight w:val="none"/>
                      <w:lang w:bidi="ar"/>
                    </w:rPr>
                    <w:t>非甲烷总烃</w:t>
                  </w:r>
                </w:p>
              </w:tc>
              <w:tc>
                <w:tcPr>
                  <w:tcW w:w="1496" w:type="pct"/>
                  <w:tcBorders>
                    <w:tl2br w:val="nil"/>
                    <w:tr2bl w:val="nil"/>
                  </w:tcBorders>
                  <w:noWrap w:val="0"/>
                  <w:vAlign w:val="center"/>
                </w:tcPr>
                <w:p w14:paraId="7830B9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DA001</w:t>
                  </w:r>
                </w:p>
              </w:tc>
              <w:tc>
                <w:tcPr>
                  <w:tcW w:w="1084" w:type="pct"/>
                  <w:tcBorders>
                    <w:tl2br w:val="nil"/>
                    <w:tr2bl w:val="nil"/>
                  </w:tcBorders>
                  <w:noWrap w:val="0"/>
                  <w:vAlign w:val="center"/>
                </w:tcPr>
                <w:p w14:paraId="621B9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val="en-US" w:eastAsia="zh-CN"/>
                    </w:rPr>
                    <w:t>/年</w:t>
                  </w:r>
                </w:p>
              </w:tc>
            </w:tr>
            <w:tr w14:paraId="7EFE3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5" w:type="pct"/>
                  <w:vMerge w:val="restart"/>
                  <w:tcBorders>
                    <w:tl2br w:val="nil"/>
                    <w:tr2bl w:val="nil"/>
                  </w:tcBorders>
                  <w:shd w:val="clear" w:color="auto" w:fill="auto"/>
                  <w:noWrap w:val="0"/>
                  <w:vAlign w:val="center"/>
                </w:tcPr>
                <w:p w14:paraId="4C3BB2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无组织废气</w:t>
                  </w:r>
                </w:p>
              </w:tc>
              <w:tc>
                <w:tcPr>
                  <w:tcW w:w="1583" w:type="pct"/>
                  <w:tcBorders>
                    <w:tl2br w:val="nil"/>
                    <w:tr2bl w:val="nil"/>
                  </w:tcBorders>
                  <w:shd w:val="clear" w:color="auto" w:fill="auto"/>
                  <w:noWrap w:val="0"/>
                  <w:vAlign w:val="center"/>
                </w:tcPr>
                <w:p w14:paraId="4FB883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氯化氢、硫酸雾、氟化物、氮氧化物、</w:t>
                  </w:r>
                  <w:r>
                    <w:rPr>
                      <w:rFonts w:hint="default" w:ascii="Times New Roman" w:hAnsi="Times New Roman" w:eastAsia="宋体" w:cs="Times New Roman"/>
                      <w:bCs/>
                      <w:color w:val="auto"/>
                      <w:sz w:val="21"/>
                      <w:szCs w:val="21"/>
                      <w:highlight w:val="none"/>
                      <w:lang w:bidi="ar"/>
                    </w:rPr>
                    <w:t>非甲烷总烃</w:t>
                  </w:r>
                </w:p>
              </w:tc>
              <w:tc>
                <w:tcPr>
                  <w:tcW w:w="1496" w:type="pct"/>
                  <w:tcBorders>
                    <w:tl2br w:val="nil"/>
                    <w:tr2bl w:val="nil"/>
                  </w:tcBorders>
                  <w:shd w:val="clear" w:color="auto" w:fill="auto"/>
                  <w:noWrap w:val="0"/>
                  <w:vAlign w:val="center"/>
                </w:tcPr>
                <w:p w14:paraId="47C680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厂界上风向1个</w:t>
                  </w:r>
                  <w:r>
                    <w:rPr>
                      <w:rFonts w:hint="default" w:ascii="Times New Roman" w:hAnsi="Times New Roman" w:eastAsia="宋体" w:cs="Times New Roman"/>
                      <w:color w:val="auto"/>
                      <w:sz w:val="21"/>
                      <w:szCs w:val="21"/>
                      <w:highlight w:val="none"/>
                      <w:lang w:eastAsia="zh-CN"/>
                    </w:rPr>
                    <w:t>参照点</w:t>
                  </w:r>
                  <w:r>
                    <w:rPr>
                      <w:rFonts w:hint="default" w:ascii="Times New Roman" w:hAnsi="Times New Roman" w:eastAsia="宋体" w:cs="Times New Roman"/>
                      <w:color w:val="auto"/>
                      <w:sz w:val="21"/>
                      <w:szCs w:val="21"/>
                      <w:highlight w:val="none"/>
                    </w:rPr>
                    <w:t>、下风向3个</w:t>
                  </w:r>
                  <w:r>
                    <w:rPr>
                      <w:rFonts w:hint="default" w:ascii="Times New Roman" w:hAnsi="Times New Roman" w:eastAsia="宋体" w:cs="Times New Roman"/>
                      <w:color w:val="auto"/>
                      <w:sz w:val="21"/>
                      <w:szCs w:val="21"/>
                      <w:highlight w:val="none"/>
                      <w:lang w:eastAsia="zh-CN"/>
                    </w:rPr>
                    <w:t>监控点</w:t>
                  </w:r>
                </w:p>
              </w:tc>
              <w:tc>
                <w:tcPr>
                  <w:tcW w:w="1084" w:type="pct"/>
                  <w:tcBorders>
                    <w:tl2br w:val="nil"/>
                    <w:tr2bl w:val="nil"/>
                  </w:tcBorders>
                  <w:shd w:val="clear" w:color="auto" w:fill="auto"/>
                  <w:noWrap w:val="0"/>
                  <w:vAlign w:val="center"/>
                </w:tcPr>
                <w:p w14:paraId="056E64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val="en-US" w:eastAsia="zh-CN"/>
                    </w:rPr>
                    <w:t>/年</w:t>
                  </w:r>
                </w:p>
              </w:tc>
            </w:tr>
            <w:tr w14:paraId="0A87B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5" w:type="pct"/>
                  <w:vMerge w:val="continue"/>
                  <w:tcBorders>
                    <w:tl2br w:val="nil"/>
                    <w:tr2bl w:val="nil"/>
                  </w:tcBorders>
                  <w:shd w:val="clear" w:color="auto" w:fill="auto"/>
                  <w:noWrap w:val="0"/>
                  <w:vAlign w:val="center"/>
                </w:tcPr>
                <w:p w14:paraId="4EB411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583" w:type="pct"/>
                  <w:tcBorders>
                    <w:tl2br w:val="nil"/>
                    <w:tr2bl w:val="nil"/>
                  </w:tcBorders>
                  <w:shd w:val="clear" w:color="auto" w:fill="auto"/>
                  <w:noWrap w:val="0"/>
                  <w:vAlign w:val="center"/>
                </w:tcPr>
                <w:p w14:paraId="673833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bidi="ar"/>
                    </w:rPr>
                    <w:t>非甲烷总烃</w:t>
                  </w:r>
                </w:p>
              </w:tc>
              <w:tc>
                <w:tcPr>
                  <w:tcW w:w="1496" w:type="pct"/>
                  <w:tcBorders>
                    <w:tl2br w:val="nil"/>
                    <w:tr2bl w:val="nil"/>
                  </w:tcBorders>
                  <w:shd w:val="clear" w:color="auto" w:fill="auto"/>
                  <w:noWrap w:val="0"/>
                  <w:vAlign w:val="center"/>
                </w:tcPr>
                <w:p w14:paraId="1E5027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厂房外</w:t>
                  </w:r>
                  <w:r>
                    <w:rPr>
                      <w:rFonts w:hint="default" w:ascii="Times New Roman" w:hAnsi="Times New Roman" w:eastAsia="宋体" w:cs="Times New Roman"/>
                      <w:color w:val="auto"/>
                      <w:sz w:val="21"/>
                      <w:szCs w:val="21"/>
                      <w:highlight w:val="none"/>
                    </w:rPr>
                    <w:t>监控点</w:t>
                  </w:r>
                </w:p>
              </w:tc>
              <w:tc>
                <w:tcPr>
                  <w:tcW w:w="1084" w:type="pct"/>
                  <w:tcBorders>
                    <w:tl2br w:val="nil"/>
                    <w:tr2bl w:val="nil"/>
                  </w:tcBorders>
                  <w:shd w:val="clear" w:color="auto" w:fill="auto"/>
                  <w:noWrap w:val="0"/>
                  <w:vAlign w:val="center"/>
                </w:tcPr>
                <w:p w14:paraId="4DB33A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val="en-US" w:eastAsia="zh-CN"/>
                    </w:rPr>
                    <w:t>/年</w:t>
                  </w:r>
                </w:p>
              </w:tc>
            </w:tr>
          </w:tbl>
          <w:p w14:paraId="0CE444C8">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2、废</w:t>
            </w:r>
            <w:r>
              <w:rPr>
                <w:rFonts w:hint="default" w:ascii="Times New Roman" w:hAnsi="Times New Roman" w:eastAsia="宋体" w:cs="Times New Roman"/>
                <w:b/>
                <w:color w:val="auto"/>
                <w:sz w:val="24"/>
                <w:szCs w:val="24"/>
                <w:highlight w:val="none"/>
              </w:rPr>
              <w:t>水环境影响分析</w:t>
            </w:r>
          </w:p>
          <w:p w14:paraId="7B681A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活污水及生产废水近期经厂区化粪池收集后，排入厂区的污水收集池，定期由槽车拉运至沣西新城大王污水处理厂处理；远期生活污水经化粪池收集后经市政管网排入沣西新城大王污水处理厂深度处理；设备冷却废水循环利用，定期更换的冷却废水经化粪池收集后由市政管网排入沣西新城大王污水处理厂深度处理</w:t>
            </w:r>
            <w:r>
              <w:rPr>
                <w:rFonts w:hint="eastAsia" w:cs="Times New Roman"/>
                <w:color w:val="auto"/>
                <w:sz w:val="24"/>
                <w:szCs w:val="24"/>
                <w:highlight w:val="none"/>
                <w:lang w:val="en-US" w:eastAsia="zh-CN"/>
              </w:rPr>
              <w:t>。</w:t>
            </w:r>
          </w:p>
          <w:p w14:paraId="259B9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本项目生活污水</w:t>
            </w:r>
            <w:r>
              <w:rPr>
                <w:rFonts w:hint="eastAsia" w:cs="Times New Roman"/>
                <w:color w:val="auto"/>
                <w:sz w:val="24"/>
                <w:szCs w:val="24"/>
                <w:highlight w:val="none"/>
                <w:lang w:val="en-US" w:eastAsia="zh-CN"/>
              </w:rPr>
              <w:t>排放量为1700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定期更换的冷却废水排放量为200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p>
          <w:p w14:paraId="7FE08BD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废水排放总量为880m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参考《生活污染源产排污系数手册》中表1-1和《给排水设计手册》(第五册城镇排水)典型生活污水水质示例，</w:t>
            </w:r>
            <w:r>
              <w:rPr>
                <w:rFonts w:hint="eastAsia" w:cs="Times New Roman"/>
                <w:color w:val="auto"/>
                <w:sz w:val="24"/>
                <w:szCs w:val="24"/>
                <w:highlight w:val="none"/>
                <w:lang w:val="en-US" w:eastAsia="zh-CN"/>
              </w:rPr>
              <w:t>以及类似废水排放的企业，</w:t>
            </w:r>
            <w:r>
              <w:rPr>
                <w:rFonts w:hint="default" w:ascii="Times New Roman" w:hAnsi="Times New Roman" w:eastAsia="宋体" w:cs="Times New Roman"/>
                <w:color w:val="auto"/>
                <w:sz w:val="24"/>
                <w:szCs w:val="24"/>
                <w:highlight w:val="none"/>
                <w:lang w:val="en-US" w:eastAsia="zh-CN"/>
              </w:rPr>
              <w:t>项目运营期</w:t>
            </w:r>
            <w:r>
              <w:rPr>
                <w:rFonts w:hint="eastAsia" w:cs="Times New Roman"/>
                <w:color w:val="auto"/>
                <w:sz w:val="24"/>
                <w:szCs w:val="24"/>
                <w:highlight w:val="none"/>
                <w:lang w:val="en-US" w:eastAsia="zh-CN"/>
              </w:rPr>
              <w:t>废</w:t>
            </w:r>
            <w:r>
              <w:rPr>
                <w:rFonts w:hint="default" w:ascii="Times New Roman" w:hAnsi="Times New Roman" w:eastAsia="宋体" w:cs="Times New Roman"/>
                <w:color w:val="auto"/>
                <w:sz w:val="24"/>
                <w:szCs w:val="24"/>
                <w:highlight w:val="none"/>
                <w:lang w:val="en-US" w:eastAsia="zh-CN"/>
              </w:rPr>
              <w:t>水中主要污染物产排情况见</w:t>
            </w:r>
            <w:r>
              <w:rPr>
                <w:rFonts w:hint="eastAsia"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val="en-US" w:eastAsia="zh-CN"/>
              </w:rPr>
              <w:t>表</w:t>
            </w:r>
            <w:r>
              <w:rPr>
                <w:rFonts w:hint="eastAsia" w:cs="Times New Roman"/>
                <w:color w:val="auto"/>
                <w:sz w:val="24"/>
                <w:szCs w:val="24"/>
                <w:highlight w:val="none"/>
                <w:lang w:val="en-US" w:eastAsia="zh-CN"/>
              </w:rPr>
              <w:t>。</w:t>
            </w:r>
          </w:p>
          <w:p w14:paraId="71A5B45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pacing w:val="0"/>
                <w:kern w:val="2"/>
                <w:sz w:val="21"/>
                <w:szCs w:val="21"/>
                <w:highlight w:val="none"/>
              </w:rPr>
            </w:pPr>
            <w:r>
              <w:rPr>
                <w:rFonts w:hint="default" w:ascii="Times New Roman" w:hAnsi="Times New Roman" w:eastAsia="宋体" w:cs="Times New Roman"/>
                <w:b/>
                <w:bCs w:val="0"/>
                <w:color w:val="auto"/>
                <w:spacing w:val="0"/>
                <w:kern w:val="2"/>
                <w:sz w:val="21"/>
                <w:szCs w:val="21"/>
                <w:highlight w:val="none"/>
                <w:lang w:val="en-US" w:eastAsia="zh-CN" w:bidi="ar"/>
              </w:rPr>
              <w:t>表4-</w:t>
            </w:r>
            <w:r>
              <w:rPr>
                <w:rFonts w:hint="eastAsia" w:cs="Times New Roman"/>
                <w:b/>
                <w:bCs w:val="0"/>
                <w:color w:val="auto"/>
                <w:spacing w:val="0"/>
                <w:kern w:val="2"/>
                <w:sz w:val="21"/>
                <w:szCs w:val="21"/>
                <w:highlight w:val="none"/>
                <w:lang w:val="en-US" w:eastAsia="zh-CN" w:bidi="ar"/>
              </w:rPr>
              <w:t>5</w:t>
            </w:r>
            <w:r>
              <w:rPr>
                <w:rFonts w:hint="default" w:ascii="Times New Roman" w:hAnsi="Times New Roman" w:eastAsia="宋体" w:cs="Times New Roman"/>
                <w:b/>
                <w:bCs w:val="0"/>
                <w:color w:val="auto"/>
                <w:spacing w:val="0"/>
                <w:kern w:val="2"/>
                <w:sz w:val="21"/>
                <w:szCs w:val="21"/>
                <w:highlight w:val="none"/>
                <w:lang w:val="en-US" w:eastAsia="zh-CN" w:bidi="ar"/>
              </w:rPr>
              <w:t xml:space="preserve">  项目废水主要污染物产生及处理情况</w:t>
            </w:r>
          </w:p>
          <w:tbl>
            <w:tblPr>
              <w:tblStyle w:val="28"/>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18"/>
              <w:gridCol w:w="873"/>
              <w:gridCol w:w="927"/>
              <w:gridCol w:w="763"/>
              <w:gridCol w:w="996"/>
              <w:gridCol w:w="385"/>
              <w:gridCol w:w="890"/>
              <w:gridCol w:w="948"/>
              <w:gridCol w:w="804"/>
              <w:gridCol w:w="911"/>
            </w:tblGrid>
            <w:tr w14:paraId="1E36A5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418" w:type="dxa"/>
                  <w:vMerge w:val="restart"/>
                  <w:tcBorders>
                    <w:tl2br w:val="nil"/>
                    <w:tr2bl w:val="nil"/>
                  </w:tcBorders>
                  <w:noWrap w:val="0"/>
                  <w:vAlign w:val="center"/>
                </w:tcPr>
                <w:p w14:paraId="7235D71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污染源</w:t>
                  </w:r>
                </w:p>
              </w:tc>
              <w:tc>
                <w:tcPr>
                  <w:tcW w:w="873" w:type="dxa"/>
                  <w:vMerge w:val="restart"/>
                  <w:tcBorders>
                    <w:tl2br w:val="nil"/>
                    <w:tr2bl w:val="nil"/>
                  </w:tcBorders>
                  <w:noWrap w:val="0"/>
                  <w:vAlign w:val="center"/>
                </w:tcPr>
                <w:p w14:paraId="6F4F94E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污染物</w:t>
                  </w:r>
                </w:p>
              </w:tc>
              <w:tc>
                <w:tcPr>
                  <w:tcW w:w="2686" w:type="dxa"/>
                  <w:gridSpan w:val="3"/>
                  <w:tcBorders>
                    <w:tl2br w:val="nil"/>
                    <w:tr2bl w:val="nil"/>
                  </w:tcBorders>
                  <w:noWrap w:val="0"/>
                  <w:vAlign w:val="center"/>
                </w:tcPr>
                <w:p w14:paraId="56A5314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污染物产生</w:t>
                  </w:r>
                </w:p>
              </w:tc>
              <w:tc>
                <w:tcPr>
                  <w:tcW w:w="1275" w:type="dxa"/>
                  <w:gridSpan w:val="2"/>
                  <w:tcBorders>
                    <w:tl2br w:val="nil"/>
                    <w:tr2bl w:val="nil"/>
                  </w:tcBorders>
                  <w:noWrap w:val="0"/>
                  <w:vAlign w:val="center"/>
                </w:tcPr>
                <w:p w14:paraId="308644E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治理措施</w:t>
                  </w:r>
                </w:p>
              </w:tc>
              <w:tc>
                <w:tcPr>
                  <w:tcW w:w="2663" w:type="dxa"/>
                  <w:gridSpan w:val="3"/>
                  <w:tcBorders>
                    <w:tl2br w:val="nil"/>
                    <w:tr2bl w:val="nil"/>
                  </w:tcBorders>
                  <w:noWrap w:val="0"/>
                  <w:vAlign w:val="center"/>
                </w:tcPr>
                <w:p w14:paraId="678442D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污染物排放</w:t>
                  </w:r>
                </w:p>
              </w:tc>
            </w:tr>
            <w:tr w14:paraId="2AC5EB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418" w:type="dxa"/>
                  <w:vMerge w:val="continue"/>
                  <w:tcBorders>
                    <w:tl2br w:val="nil"/>
                    <w:tr2bl w:val="nil"/>
                  </w:tcBorders>
                  <w:noWrap w:val="0"/>
                  <w:vAlign w:val="center"/>
                </w:tcPr>
                <w:p w14:paraId="23B35A9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73" w:type="dxa"/>
                  <w:vMerge w:val="continue"/>
                  <w:tcBorders>
                    <w:tl2br w:val="nil"/>
                    <w:tr2bl w:val="nil"/>
                  </w:tcBorders>
                  <w:noWrap w:val="0"/>
                  <w:vAlign w:val="center"/>
                </w:tcPr>
                <w:p w14:paraId="3D81960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27" w:type="dxa"/>
                  <w:tcBorders>
                    <w:tl2br w:val="nil"/>
                    <w:tr2bl w:val="nil"/>
                  </w:tcBorders>
                  <w:noWrap w:val="0"/>
                  <w:vAlign w:val="center"/>
                </w:tcPr>
                <w:p w14:paraId="39DF0E8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产生量</w:t>
                  </w:r>
                </w:p>
                <w:p w14:paraId="0E9C1AF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m</w:t>
                  </w:r>
                  <w:r>
                    <w:rPr>
                      <w:rStyle w:val="109"/>
                      <w:rFonts w:hint="default" w:ascii="Times New Roman" w:hAnsi="Times New Roman" w:eastAsia="宋体" w:cs="Times New Roman"/>
                      <w:b/>
                      <w:bCs w:val="0"/>
                      <w:color w:val="auto"/>
                      <w:kern w:val="2"/>
                      <w:sz w:val="21"/>
                      <w:szCs w:val="21"/>
                      <w:highlight w:val="none"/>
                      <w:vertAlign w:val="superscript"/>
                      <w:lang w:val="en-US" w:eastAsia="zh-CN" w:bidi="ar"/>
                    </w:rPr>
                    <w:t>3</w:t>
                  </w:r>
                  <w:r>
                    <w:rPr>
                      <w:rFonts w:hint="default" w:ascii="Times New Roman" w:hAnsi="Times New Roman" w:eastAsia="宋体" w:cs="Times New Roman"/>
                      <w:b/>
                      <w:bCs w:val="0"/>
                      <w:color w:val="auto"/>
                      <w:kern w:val="2"/>
                      <w:sz w:val="21"/>
                      <w:szCs w:val="21"/>
                      <w:highlight w:val="none"/>
                      <w:lang w:val="en-US" w:eastAsia="zh-CN" w:bidi="ar"/>
                    </w:rPr>
                    <w:t>/a</w:t>
                  </w:r>
                </w:p>
              </w:tc>
              <w:tc>
                <w:tcPr>
                  <w:tcW w:w="763" w:type="dxa"/>
                  <w:tcBorders>
                    <w:tl2br w:val="nil"/>
                    <w:tr2bl w:val="nil"/>
                  </w:tcBorders>
                  <w:noWrap w:val="0"/>
                  <w:vAlign w:val="center"/>
                </w:tcPr>
                <w:p w14:paraId="7A4322B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浓度</w:t>
                  </w:r>
                </w:p>
                <w:p w14:paraId="3E31ADB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mg/</w:t>
                  </w:r>
                  <w:r>
                    <w:rPr>
                      <w:rFonts w:hint="default" w:ascii="Times New Roman" w:hAnsi="Times New Roman" w:eastAsia="宋体" w:cs="Times New Roman"/>
                      <w:b/>
                      <w:bCs w:val="0"/>
                      <w:color w:val="auto"/>
                      <w:kern w:val="2"/>
                      <w:sz w:val="21"/>
                      <w:szCs w:val="21"/>
                      <w:highlight w:val="none"/>
                      <w:lang w:val="en-US" w:eastAsia="zh-CN" w:bidi="ar"/>
                    </w:rPr>
                    <w:t>L</w:t>
                  </w:r>
                </w:p>
              </w:tc>
              <w:tc>
                <w:tcPr>
                  <w:tcW w:w="996" w:type="dxa"/>
                  <w:tcBorders>
                    <w:tl2br w:val="nil"/>
                    <w:tr2bl w:val="nil"/>
                  </w:tcBorders>
                  <w:noWrap w:val="0"/>
                  <w:vAlign w:val="center"/>
                </w:tcPr>
                <w:p w14:paraId="263C347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产生量</w:t>
                  </w:r>
                </w:p>
                <w:p w14:paraId="51F6388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t/a</w:t>
                  </w:r>
                </w:p>
              </w:tc>
              <w:tc>
                <w:tcPr>
                  <w:tcW w:w="385" w:type="dxa"/>
                  <w:tcBorders>
                    <w:tl2br w:val="nil"/>
                    <w:tr2bl w:val="nil"/>
                  </w:tcBorders>
                  <w:noWrap w:val="0"/>
                  <w:vAlign w:val="center"/>
                </w:tcPr>
                <w:p w14:paraId="56FF874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工艺</w:t>
                  </w:r>
                </w:p>
              </w:tc>
              <w:tc>
                <w:tcPr>
                  <w:tcW w:w="890" w:type="dxa"/>
                  <w:tcBorders>
                    <w:tl2br w:val="nil"/>
                    <w:tr2bl w:val="nil"/>
                  </w:tcBorders>
                  <w:noWrap w:val="0"/>
                  <w:vAlign w:val="center"/>
                </w:tcPr>
                <w:p w14:paraId="534194A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效率%</w:t>
                  </w:r>
                </w:p>
              </w:tc>
              <w:tc>
                <w:tcPr>
                  <w:tcW w:w="948" w:type="dxa"/>
                  <w:tcBorders>
                    <w:tl2br w:val="nil"/>
                    <w:tr2bl w:val="nil"/>
                  </w:tcBorders>
                  <w:noWrap w:val="0"/>
                  <w:vAlign w:val="center"/>
                </w:tcPr>
                <w:p w14:paraId="1118516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排放量</w:t>
                  </w:r>
                  <w:r>
                    <w:rPr>
                      <w:rFonts w:hint="default" w:ascii="Times New Roman" w:hAnsi="Times New Roman" w:eastAsia="宋体" w:cs="Times New Roman"/>
                      <w:b/>
                      <w:bCs w:val="0"/>
                      <w:color w:val="auto"/>
                      <w:kern w:val="2"/>
                      <w:sz w:val="21"/>
                      <w:szCs w:val="21"/>
                      <w:highlight w:val="none"/>
                      <w:lang w:val="en-US" w:eastAsia="zh-CN" w:bidi="ar"/>
                    </w:rPr>
                    <w:t>m</w:t>
                  </w:r>
                  <w:r>
                    <w:rPr>
                      <w:rStyle w:val="109"/>
                      <w:rFonts w:hint="default" w:ascii="Times New Roman" w:hAnsi="Times New Roman" w:eastAsia="宋体" w:cs="Times New Roman"/>
                      <w:b/>
                      <w:bCs w:val="0"/>
                      <w:color w:val="auto"/>
                      <w:kern w:val="2"/>
                      <w:sz w:val="21"/>
                      <w:szCs w:val="21"/>
                      <w:highlight w:val="none"/>
                      <w:vertAlign w:val="superscript"/>
                      <w:lang w:val="en-US" w:eastAsia="zh-CN" w:bidi="ar"/>
                    </w:rPr>
                    <w:t>3</w:t>
                  </w:r>
                  <w:r>
                    <w:rPr>
                      <w:rFonts w:hint="default" w:ascii="Times New Roman" w:hAnsi="Times New Roman" w:eastAsia="宋体" w:cs="Times New Roman"/>
                      <w:b/>
                      <w:bCs w:val="0"/>
                      <w:color w:val="auto"/>
                      <w:kern w:val="2"/>
                      <w:sz w:val="21"/>
                      <w:szCs w:val="21"/>
                      <w:highlight w:val="none"/>
                      <w:lang w:val="en-US" w:eastAsia="zh-CN" w:bidi="ar"/>
                    </w:rPr>
                    <w:t>/a</w:t>
                  </w:r>
                </w:p>
              </w:tc>
              <w:tc>
                <w:tcPr>
                  <w:tcW w:w="804" w:type="dxa"/>
                  <w:tcBorders>
                    <w:tl2br w:val="nil"/>
                    <w:tr2bl w:val="nil"/>
                  </w:tcBorders>
                  <w:noWrap w:val="0"/>
                  <w:vAlign w:val="center"/>
                </w:tcPr>
                <w:p w14:paraId="2F9FBEE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浓度</w:t>
                  </w:r>
                </w:p>
                <w:p w14:paraId="54DCE6D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mg/L</w:t>
                  </w:r>
                </w:p>
              </w:tc>
              <w:tc>
                <w:tcPr>
                  <w:tcW w:w="911" w:type="dxa"/>
                  <w:tcBorders>
                    <w:tl2br w:val="nil"/>
                    <w:tr2bl w:val="nil"/>
                  </w:tcBorders>
                  <w:noWrap w:val="0"/>
                  <w:vAlign w:val="center"/>
                </w:tcPr>
                <w:p w14:paraId="6E1984D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排放量</w:t>
                  </w:r>
                </w:p>
                <w:p w14:paraId="1DC015E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t/a</w:t>
                  </w:r>
                </w:p>
              </w:tc>
            </w:tr>
            <w:tr w14:paraId="37CE37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418" w:type="dxa"/>
                  <w:vMerge w:val="restart"/>
                  <w:tcBorders>
                    <w:tl2br w:val="nil"/>
                    <w:tr2bl w:val="nil"/>
                  </w:tcBorders>
                  <w:noWrap w:val="0"/>
                  <w:vAlign w:val="center"/>
                </w:tcPr>
                <w:p w14:paraId="71D8EE5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生活污水</w:t>
                  </w:r>
                </w:p>
              </w:tc>
              <w:tc>
                <w:tcPr>
                  <w:tcW w:w="873" w:type="dxa"/>
                  <w:tcBorders>
                    <w:tl2br w:val="nil"/>
                    <w:tr2bl w:val="nil"/>
                  </w:tcBorders>
                  <w:noWrap w:val="0"/>
                  <w:vAlign w:val="center"/>
                </w:tcPr>
                <w:p w14:paraId="16D7DD1E">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COD</w:t>
                  </w:r>
                </w:p>
              </w:tc>
              <w:tc>
                <w:tcPr>
                  <w:tcW w:w="927" w:type="dxa"/>
                  <w:vMerge w:val="restart"/>
                  <w:tcBorders>
                    <w:tl2br w:val="nil"/>
                    <w:tr2bl w:val="nil"/>
                  </w:tcBorders>
                  <w:noWrap w:val="0"/>
                  <w:vAlign w:val="center"/>
                </w:tcPr>
                <w:p w14:paraId="585A9F80">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680</w:t>
                  </w:r>
                </w:p>
              </w:tc>
              <w:tc>
                <w:tcPr>
                  <w:tcW w:w="763" w:type="dxa"/>
                  <w:tcBorders>
                    <w:tl2br w:val="nil"/>
                    <w:tr2bl w:val="nil"/>
                  </w:tcBorders>
                  <w:noWrap w:val="0"/>
                  <w:vAlign w:val="center"/>
                </w:tcPr>
                <w:p w14:paraId="244DEC3A">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460</w:t>
                  </w:r>
                </w:p>
              </w:tc>
              <w:tc>
                <w:tcPr>
                  <w:tcW w:w="996" w:type="dxa"/>
                  <w:tcBorders>
                    <w:tl2br w:val="nil"/>
                    <w:tr2bl w:val="nil"/>
                  </w:tcBorders>
                  <w:noWrap w:val="0"/>
                  <w:vAlign w:val="center"/>
                </w:tcPr>
                <w:p w14:paraId="52154D4A">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0.313 </w:t>
                  </w:r>
                </w:p>
              </w:tc>
              <w:tc>
                <w:tcPr>
                  <w:tcW w:w="385" w:type="dxa"/>
                  <w:vMerge w:val="restart"/>
                  <w:tcBorders>
                    <w:tl2br w:val="nil"/>
                    <w:tr2bl w:val="nil"/>
                  </w:tcBorders>
                  <w:noWrap w:val="0"/>
                  <w:vAlign w:val="center"/>
                </w:tcPr>
                <w:p w14:paraId="6BD932ED">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化粪池</w:t>
                  </w:r>
                </w:p>
              </w:tc>
              <w:tc>
                <w:tcPr>
                  <w:tcW w:w="890" w:type="dxa"/>
                  <w:tcBorders>
                    <w:tl2br w:val="nil"/>
                    <w:tr2bl w:val="nil"/>
                  </w:tcBorders>
                  <w:noWrap w:val="0"/>
                  <w:vAlign w:val="center"/>
                </w:tcPr>
                <w:p w14:paraId="258250CC">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15</w:t>
                  </w:r>
                </w:p>
              </w:tc>
              <w:tc>
                <w:tcPr>
                  <w:tcW w:w="948" w:type="dxa"/>
                  <w:vMerge w:val="restart"/>
                  <w:tcBorders>
                    <w:tl2br w:val="nil"/>
                    <w:tr2bl w:val="nil"/>
                  </w:tcBorders>
                  <w:noWrap w:val="0"/>
                  <w:vAlign w:val="center"/>
                </w:tcPr>
                <w:p w14:paraId="2D072447">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680</w:t>
                  </w:r>
                </w:p>
              </w:tc>
              <w:tc>
                <w:tcPr>
                  <w:tcW w:w="804" w:type="dxa"/>
                  <w:tcBorders>
                    <w:tl2br w:val="nil"/>
                    <w:tr2bl w:val="nil"/>
                  </w:tcBorders>
                  <w:noWrap w:val="0"/>
                  <w:vAlign w:val="center"/>
                </w:tcPr>
                <w:p w14:paraId="7D4F2280">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391</w:t>
                  </w:r>
                </w:p>
              </w:tc>
              <w:tc>
                <w:tcPr>
                  <w:tcW w:w="911" w:type="dxa"/>
                  <w:tcBorders>
                    <w:tl2br w:val="nil"/>
                    <w:tr2bl w:val="nil"/>
                  </w:tcBorders>
                  <w:noWrap w:val="0"/>
                  <w:vAlign w:val="center"/>
                </w:tcPr>
                <w:p w14:paraId="0DAD87EF">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0.266 </w:t>
                  </w:r>
                </w:p>
              </w:tc>
            </w:tr>
            <w:tr w14:paraId="6AD7FD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418" w:type="dxa"/>
                  <w:vMerge w:val="continue"/>
                  <w:tcBorders>
                    <w:tl2br w:val="nil"/>
                    <w:tr2bl w:val="nil"/>
                  </w:tcBorders>
                  <w:noWrap w:val="0"/>
                  <w:vAlign w:val="center"/>
                </w:tcPr>
                <w:p w14:paraId="40CF7F5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73" w:type="dxa"/>
                  <w:tcBorders>
                    <w:tl2br w:val="nil"/>
                    <w:tr2bl w:val="nil"/>
                  </w:tcBorders>
                  <w:noWrap w:val="0"/>
                  <w:vAlign w:val="center"/>
                </w:tcPr>
                <w:p w14:paraId="44A75C18">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BOD</w:t>
                  </w:r>
                  <w:r>
                    <w:rPr>
                      <w:rFonts w:hint="default" w:ascii="Times New Roman" w:hAnsi="Times New Roman" w:eastAsia="宋体" w:cs="Times New Roman"/>
                      <w:color w:val="auto"/>
                      <w:kern w:val="2"/>
                      <w:sz w:val="21"/>
                      <w:szCs w:val="21"/>
                      <w:highlight w:val="none"/>
                      <w:vertAlign w:val="subscript"/>
                      <w:lang w:val="en-US" w:eastAsia="zh-CN"/>
                    </w:rPr>
                    <w:t>5</w:t>
                  </w:r>
                </w:p>
              </w:tc>
              <w:tc>
                <w:tcPr>
                  <w:tcW w:w="927" w:type="dxa"/>
                  <w:vMerge w:val="continue"/>
                  <w:tcBorders>
                    <w:tl2br w:val="nil"/>
                    <w:tr2bl w:val="nil"/>
                  </w:tcBorders>
                  <w:noWrap w:val="0"/>
                  <w:vAlign w:val="center"/>
                </w:tcPr>
                <w:p w14:paraId="58485EC6">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763" w:type="dxa"/>
                  <w:tcBorders>
                    <w:tl2br w:val="nil"/>
                    <w:tr2bl w:val="nil"/>
                  </w:tcBorders>
                  <w:noWrap w:val="0"/>
                  <w:vAlign w:val="center"/>
                </w:tcPr>
                <w:p w14:paraId="4520CD5E">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220</w:t>
                  </w:r>
                </w:p>
              </w:tc>
              <w:tc>
                <w:tcPr>
                  <w:tcW w:w="996" w:type="dxa"/>
                  <w:tcBorders>
                    <w:tl2br w:val="nil"/>
                    <w:tr2bl w:val="nil"/>
                  </w:tcBorders>
                  <w:noWrap w:val="0"/>
                  <w:vAlign w:val="center"/>
                </w:tcPr>
                <w:p w14:paraId="1C133727">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0.150 </w:t>
                  </w:r>
                </w:p>
              </w:tc>
              <w:tc>
                <w:tcPr>
                  <w:tcW w:w="385" w:type="dxa"/>
                  <w:vMerge w:val="continue"/>
                  <w:tcBorders>
                    <w:tl2br w:val="nil"/>
                    <w:tr2bl w:val="nil"/>
                  </w:tcBorders>
                  <w:noWrap w:val="0"/>
                  <w:vAlign w:val="center"/>
                </w:tcPr>
                <w:p w14:paraId="37420757">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90" w:type="dxa"/>
                  <w:tcBorders>
                    <w:tl2br w:val="nil"/>
                    <w:tr2bl w:val="nil"/>
                  </w:tcBorders>
                  <w:noWrap w:val="0"/>
                  <w:vAlign w:val="center"/>
                </w:tcPr>
                <w:p w14:paraId="4F94EB8F">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w:t>
                  </w:r>
                </w:p>
              </w:tc>
              <w:tc>
                <w:tcPr>
                  <w:tcW w:w="948" w:type="dxa"/>
                  <w:vMerge w:val="continue"/>
                  <w:tcBorders>
                    <w:tl2br w:val="nil"/>
                    <w:tr2bl w:val="nil"/>
                  </w:tcBorders>
                  <w:noWrap w:val="0"/>
                  <w:vAlign w:val="center"/>
                </w:tcPr>
                <w:p w14:paraId="4715E679">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04" w:type="dxa"/>
                  <w:tcBorders>
                    <w:tl2br w:val="nil"/>
                    <w:tr2bl w:val="nil"/>
                  </w:tcBorders>
                  <w:noWrap w:val="0"/>
                  <w:vAlign w:val="center"/>
                </w:tcPr>
                <w:p w14:paraId="36FBF657">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198</w:t>
                  </w:r>
                </w:p>
              </w:tc>
              <w:tc>
                <w:tcPr>
                  <w:tcW w:w="911" w:type="dxa"/>
                  <w:tcBorders>
                    <w:tl2br w:val="nil"/>
                    <w:tr2bl w:val="nil"/>
                  </w:tcBorders>
                  <w:noWrap w:val="0"/>
                  <w:vAlign w:val="center"/>
                </w:tcPr>
                <w:p w14:paraId="77E31855">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0.135 </w:t>
                  </w:r>
                </w:p>
              </w:tc>
            </w:tr>
            <w:tr w14:paraId="36EC24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418" w:type="dxa"/>
                  <w:vMerge w:val="continue"/>
                  <w:tcBorders>
                    <w:tl2br w:val="nil"/>
                    <w:tr2bl w:val="nil"/>
                  </w:tcBorders>
                  <w:noWrap w:val="0"/>
                  <w:vAlign w:val="center"/>
                </w:tcPr>
                <w:p w14:paraId="169E7FC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73" w:type="dxa"/>
                  <w:tcBorders>
                    <w:tl2br w:val="nil"/>
                    <w:tr2bl w:val="nil"/>
                  </w:tcBorders>
                  <w:noWrap w:val="0"/>
                  <w:vAlign w:val="center"/>
                </w:tcPr>
                <w:p w14:paraId="39151F86">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SS</w:t>
                  </w:r>
                </w:p>
              </w:tc>
              <w:tc>
                <w:tcPr>
                  <w:tcW w:w="927" w:type="dxa"/>
                  <w:vMerge w:val="continue"/>
                  <w:tcBorders>
                    <w:tl2br w:val="nil"/>
                    <w:tr2bl w:val="nil"/>
                  </w:tcBorders>
                  <w:noWrap w:val="0"/>
                  <w:vAlign w:val="center"/>
                </w:tcPr>
                <w:p w14:paraId="55C3BADC">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763" w:type="dxa"/>
                  <w:tcBorders>
                    <w:tl2br w:val="nil"/>
                    <w:tr2bl w:val="nil"/>
                  </w:tcBorders>
                  <w:noWrap w:val="0"/>
                  <w:vAlign w:val="center"/>
                </w:tcPr>
                <w:p w14:paraId="4F700730">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200</w:t>
                  </w:r>
                </w:p>
              </w:tc>
              <w:tc>
                <w:tcPr>
                  <w:tcW w:w="996" w:type="dxa"/>
                  <w:tcBorders>
                    <w:tl2br w:val="nil"/>
                    <w:tr2bl w:val="nil"/>
                  </w:tcBorders>
                  <w:noWrap w:val="0"/>
                  <w:vAlign w:val="center"/>
                </w:tcPr>
                <w:p w14:paraId="517E591D">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0.136 </w:t>
                  </w:r>
                </w:p>
              </w:tc>
              <w:tc>
                <w:tcPr>
                  <w:tcW w:w="385" w:type="dxa"/>
                  <w:vMerge w:val="continue"/>
                  <w:tcBorders>
                    <w:tl2br w:val="nil"/>
                    <w:tr2bl w:val="nil"/>
                  </w:tcBorders>
                  <w:noWrap w:val="0"/>
                  <w:vAlign w:val="center"/>
                </w:tcPr>
                <w:p w14:paraId="6FFC50C3">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90" w:type="dxa"/>
                  <w:tcBorders>
                    <w:tl2br w:val="nil"/>
                    <w:tr2bl w:val="nil"/>
                  </w:tcBorders>
                  <w:noWrap w:val="0"/>
                  <w:vAlign w:val="center"/>
                </w:tcPr>
                <w:p w14:paraId="38293628">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3</w:t>
                  </w:r>
                  <w:r>
                    <w:rPr>
                      <w:rFonts w:hint="eastAsia" w:ascii="Times New Roman" w:hAnsi="Times New Roman" w:eastAsia="宋体" w:cs="Times New Roman"/>
                      <w:color w:val="auto"/>
                      <w:kern w:val="2"/>
                      <w:sz w:val="21"/>
                      <w:szCs w:val="21"/>
                      <w:highlight w:val="none"/>
                      <w:lang w:val="en-US" w:eastAsia="zh-CN"/>
                    </w:rPr>
                    <w:t>5</w:t>
                  </w:r>
                </w:p>
              </w:tc>
              <w:tc>
                <w:tcPr>
                  <w:tcW w:w="948" w:type="dxa"/>
                  <w:vMerge w:val="continue"/>
                  <w:tcBorders>
                    <w:tl2br w:val="nil"/>
                    <w:tr2bl w:val="nil"/>
                  </w:tcBorders>
                  <w:noWrap w:val="0"/>
                  <w:vAlign w:val="center"/>
                </w:tcPr>
                <w:p w14:paraId="6B673CA7">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04" w:type="dxa"/>
                  <w:tcBorders>
                    <w:tl2br w:val="nil"/>
                    <w:tr2bl w:val="nil"/>
                  </w:tcBorders>
                  <w:noWrap w:val="0"/>
                  <w:vAlign w:val="center"/>
                </w:tcPr>
                <w:p w14:paraId="6BBB8B8D">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130</w:t>
                  </w:r>
                </w:p>
              </w:tc>
              <w:tc>
                <w:tcPr>
                  <w:tcW w:w="911" w:type="dxa"/>
                  <w:tcBorders>
                    <w:tl2br w:val="nil"/>
                    <w:tr2bl w:val="nil"/>
                  </w:tcBorders>
                  <w:noWrap w:val="0"/>
                  <w:vAlign w:val="center"/>
                </w:tcPr>
                <w:p w14:paraId="62388260">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0.088 </w:t>
                  </w:r>
                </w:p>
              </w:tc>
            </w:tr>
            <w:tr w14:paraId="74786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418" w:type="dxa"/>
                  <w:vMerge w:val="continue"/>
                  <w:tcBorders>
                    <w:tl2br w:val="nil"/>
                    <w:tr2bl w:val="nil"/>
                  </w:tcBorders>
                  <w:noWrap w:val="0"/>
                  <w:vAlign w:val="center"/>
                </w:tcPr>
                <w:p w14:paraId="56A8AE2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73" w:type="dxa"/>
                  <w:tcBorders>
                    <w:tl2br w:val="nil"/>
                    <w:tr2bl w:val="nil"/>
                  </w:tcBorders>
                  <w:noWrap w:val="0"/>
                  <w:vAlign w:val="center"/>
                </w:tcPr>
                <w:p w14:paraId="45AD2BA3">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氨氮</w:t>
                  </w:r>
                </w:p>
              </w:tc>
              <w:tc>
                <w:tcPr>
                  <w:tcW w:w="927" w:type="dxa"/>
                  <w:vMerge w:val="continue"/>
                  <w:tcBorders>
                    <w:tl2br w:val="nil"/>
                    <w:tr2bl w:val="nil"/>
                  </w:tcBorders>
                  <w:noWrap w:val="0"/>
                  <w:vAlign w:val="center"/>
                </w:tcPr>
                <w:p w14:paraId="5F93BFF3">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763" w:type="dxa"/>
                  <w:tcBorders>
                    <w:tl2br w:val="nil"/>
                    <w:tr2bl w:val="nil"/>
                  </w:tcBorders>
                  <w:noWrap w:val="0"/>
                  <w:vAlign w:val="center"/>
                </w:tcPr>
                <w:p w14:paraId="4E97396F">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50</w:t>
                  </w:r>
                </w:p>
              </w:tc>
              <w:tc>
                <w:tcPr>
                  <w:tcW w:w="996" w:type="dxa"/>
                  <w:tcBorders>
                    <w:tl2br w:val="nil"/>
                    <w:tr2bl w:val="nil"/>
                  </w:tcBorders>
                  <w:noWrap w:val="0"/>
                  <w:vAlign w:val="center"/>
                </w:tcPr>
                <w:p w14:paraId="18667240">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0.034 </w:t>
                  </w:r>
                </w:p>
              </w:tc>
              <w:tc>
                <w:tcPr>
                  <w:tcW w:w="385" w:type="dxa"/>
                  <w:vMerge w:val="continue"/>
                  <w:tcBorders>
                    <w:tl2br w:val="nil"/>
                    <w:tr2bl w:val="nil"/>
                  </w:tcBorders>
                  <w:noWrap w:val="0"/>
                  <w:vAlign w:val="center"/>
                </w:tcPr>
                <w:p w14:paraId="2092B0C0">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90" w:type="dxa"/>
                  <w:tcBorders>
                    <w:tl2br w:val="nil"/>
                    <w:tr2bl w:val="nil"/>
                  </w:tcBorders>
                  <w:noWrap w:val="0"/>
                  <w:vAlign w:val="center"/>
                </w:tcPr>
                <w:p w14:paraId="56BCADE9">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15</w:t>
                  </w:r>
                </w:p>
              </w:tc>
              <w:tc>
                <w:tcPr>
                  <w:tcW w:w="948" w:type="dxa"/>
                  <w:vMerge w:val="continue"/>
                  <w:tcBorders>
                    <w:tl2br w:val="nil"/>
                    <w:tr2bl w:val="nil"/>
                  </w:tcBorders>
                  <w:noWrap w:val="0"/>
                  <w:vAlign w:val="center"/>
                </w:tcPr>
                <w:p w14:paraId="43E2B937">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04" w:type="dxa"/>
                  <w:tcBorders>
                    <w:tl2br w:val="nil"/>
                    <w:tr2bl w:val="nil"/>
                  </w:tcBorders>
                  <w:noWrap w:val="0"/>
                  <w:vAlign w:val="center"/>
                </w:tcPr>
                <w:p w14:paraId="3128EF45">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42.5</w:t>
                  </w:r>
                </w:p>
              </w:tc>
              <w:tc>
                <w:tcPr>
                  <w:tcW w:w="911" w:type="dxa"/>
                  <w:tcBorders>
                    <w:tl2br w:val="nil"/>
                    <w:tr2bl w:val="nil"/>
                  </w:tcBorders>
                  <w:noWrap w:val="0"/>
                  <w:vAlign w:val="center"/>
                </w:tcPr>
                <w:p w14:paraId="420888F8">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0.029 </w:t>
                  </w:r>
                </w:p>
              </w:tc>
            </w:tr>
            <w:tr w14:paraId="0AC994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418" w:type="dxa"/>
                  <w:vMerge w:val="continue"/>
                  <w:tcBorders>
                    <w:tl2br w:val="nil"/>
                    <w:tr2bl w:val="nil"/>
                  </w:tcBorders>
                  <w:noWrap w:val="0"/>
                  <w:vAlign w:val="center"/>
                </w:tcPr>
                <w:p w14:paraId="6AB85C3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73" w:type="dxa"/>
                  <w:tcBorders>
                    <w:tl2br w:val="nil"/>
                    <w:tr2bl w:val="nil"/>
                  </w:tcBorders>
                  <w:noWrap w:val="0"/>
                  <w:vAlign w:val="center"/>
                </w:tcPr>
                <w:p w14:paraId="412732B2">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总氮</w:t>
                  </w:r>
                </w:p>
              </w:tc>
              <w:tc>
                <w:tcPr>
                  <w:tcW w:w="927" w:type="dxa"/>
                  <w:vMerge w:val="continue"/>
                  <w:tcBorders>
                    <w:tl2br w:val="nil"/>
                    <w:tr2bl w:val="nil"/>
                  </w:tcBorders>
                  <w:noWrap w:val="0"/>
                  <w:vAlign w:val="center"/>
                </w:tcPr>
                <w:p w14:paraId="16DFA0D3">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763" w:type="dxa"/>
                  <w:tcBorders>
                    <w:tl2br w:val="nil"/>
                    <w:tr2bl w:val="nil"/>
                  </w:tcBorders>
                  <w:noWrap w:val="0"/>
                  <w:vAlign w:val="center"/>
                </w:tcPr>
                <w:p w14:paraId="5FADD090">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60</w:t>
                  </w:r>
                </w:p>
              </w:tc>
              <w:tc>
                <w:tcPr>
                  <w:tcW w:w="996" w:type="dxa"/>
                  <w:tcBorders>
                    <w:tl2br w:val="nil"/>
                    <w:tr2bl w:val="nil"/>
                  </w:tcBorders>
                  <w:noWrap w:val="0"/>
                  <w:vAlign w:val="center"/>
                </w:tcPr>
                <w:p w14:paraId="706E6B92">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0.041 </w:t>
                  </w:r>
                </w:p>
              </w:tc>
              <w:tc>
                <w:tcPr>
                  <w:tcW w:w="385" w:type="dxa"/>
                  <w:vMerge w:val="continue"/>
                  <w:tcBorders>
                    <w:tl2br w:val="nil"/>
                    <w:tr2bl w:val="nil"/>
                  </w:tcBorders>
                  <w:noWrap w:val="0"/>
                  <w:vAlign w:val="center"/>
                </w:tcPr>
                <w:p w14:paraId="5EA3D38F">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90" w:type="dxa"/>
                  <w:tcBorders>
                    <w:tl2br w:val="nil"/>
                    <w:tr2bl w:val="nil"/>
                  </w:tcBorders>
                  <w:noWrap w:val="0"/>
                  <w:vAlign w:val="center"/>
                </w:tcPr>
                <w:p w14:paraId="22DA32A9">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w:t>
                  </w:r>
                </w:p>
              </w:tc>
              <w:tc>
                <w:tcPr>
                  <w:tcW w:w="948" w:type="dxa"/>
                  <w:vMerge w:val="continue"/>
                  <w:tcBorders>
                    <w:tl2br w:val="nil"/>
                    <w:tr2bl w:val="nil"/>
                  </w:tcBorders>
                  <w:noWrap w:val="0"/>
                  <w:vAlign w:val="center"/>
                </w:tcPr>
                <w:p w14:paraId="573A0816">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04" w:type="dxa"/>
                  <w:tcBorders>
                    <w:tl2br w:val="nil"/>
                    <w:tr2bl w:val="nil"/>
                  </w:tcBorders>
                  <w:noWrap w:val="0"/>
                  <w:vAlign w:val="center"/>
                </w:tcPr>
                <w:p w14:paraId="3F8997C2">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57</w:t>
                  </w:r>
                </w:p>
              </w:tc>
              <w:tc>
                <w:tcPr>
                  <w:tcW w:w="911" w:type="dxa"/>
                  <w:tcBorders>
                    <w:tl2br w:val="nil"/>
                    <w:tr2bl w:val="nil"/>
                  </w:tcBorders>
                  <w:noWrap w:val="0"/>
                  <w:vAlign w:val="center"/>
                </w:tcPr>
                <w:p w14:paraId="2CD85B79">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0.039 </w:t>
                  </w:r>
                </w:p>
              </w:tc>
            </w:tr>
            <w:tr w14:paraId="7DE0F5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418" w:type="dxa"/>
                  <w:vMerge w:val="continue"/>
                  <w:tcBorders>
                    <w:tl2br w:val="nil"/>
                    <w:tr2bl w:val="nil"/>
                  </w:tcBorders>
                  <w:noWrap w:val="0"/>
                  <w:vAlign w:val="center"/>
                </w:tcPr>
                <w:p w14:paraId="71FB5A8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73" w:type="dxa"/>
                  <w:tcBorders>
                    <w:tl2br w:val="nil"/>
                    <w:tr2bl w:val="nil"/>
                  </w:tcBorders>
                  <w:noWrap w:val="0"/>
                  <w:vAlign w:val="center"/>
                </w:tcPr>
                <w:p w14:paraId="79D10E69">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总磷</w:t>
                  </w:r>
                </w:p>
              </w:tc>
              <w:tc>
                <w:tcPr>
                  <w:tcW w:w="927" w:type="dxa"/>
                  <w:vMerge w:val="continue"/>
                  <w:tcBorders>
                    <w:tl2br w:val="nil"/>
                    <w:tr2bl w:val="nil"/>
                  </w:tcBorders>
                  <w:noWrap w:val="0"/>
                  <w:vAlign w:val="center"/>
                </w:tcPr>
                <w:p w14:paraId="4E1A73F6">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763" w:type="dxa"/>
                  <w:tcBorders>
                    <w:tl2br w:val="nil"/>
                    <w:tr2bl w:val="nil"/>
                  </w:tcBorders>
                  <w:noWrap w:val="0"/>
                  <w:vAlign w:val="center"/>
                </w:tcPr>
                <w:p w14:paraId="0914FDFE">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w:t>
                  </w:r>
                </w:p>
              </w:tc>
              <w:tc>
                <w:tcPr>
                  <w:tcW w:w="996" w:type="dxa"/>
                  <w:tcBorders>
                    <w:tl2br w:val="nil"/>
                    <w:tr2bl w:val="nil"/>
                  </w:tcBorders>
                  <w:noWrap w:val="0"/>
                  <w:vAlign w:val="center"/>
                </w:tcPr>
                <w:p w14:paraId="7C3E7D8F">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0.003 </w:t>
                  </w:r>
                </w:p>
              </w:tc>
              <w:tc>
                <w:tcPr>
                  <w:tcW w:w="385" w:type="dxa"/>
                  <w:vMerge w:val="continue"/>
                  <w:tcBorders>
                    <w:tl2br w:val="nil"/>
                    <w:tr2bl w:val="nil"/>
                  </w:tcBorders>
                  <w:noWrap w:val="0"/>
                  <w:vAlign w:val="center"/>
                </w:tcPr>
                <w:p w14:paraId="69BBD5F1">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90" w:type="dxa"/>
                  <w:tcBorders>
                    <w:tl2br w:val="nil"/>
                    <w:tr2bl w:val="nil"/>
                  </w:tcBorders>
                  <w:noWrap w:val="0"/>
                  <w:vAlign w:val="center"/>
                </w:tcPr>
                <w:p w14:paraId="6E72CD17">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w:t>
                  </w:r>
                </w:p>
              </w:tc>
              <w:tc>
                <w:tcPr>
                  <w:tcW w:w="948" w:type="dxa"/>
                  <w:vMerge w:val="continue"/>
                  <w:tcBorders>
                    <w:tl2br w:val="nil"/>
                    <w:tr2bl w:val="nil"/>
                  </w:tcBorders>
                  <w:noWrap w:val="0"/>
                  <w:vAlign w:val="center"/>
                </w:tcPr>
                <w:p w14:paraId="7F5C5996">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04" w:type="dxa"/>
                  <w:tcBorders>
                    <w:tl2br w:val="nil"/>
                    <w:tr2bl w:val="nil"/>
                  </w:tcBorders>
                  <w:noWrap w:val="0"/>
                  <w:vAlign w:val="center"/>
                </w:tcPr>
                <w:p w14:paraId="7F0C6B02">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3.8</w:t>
                  </w:r>
                </w:p>
              </w:tc>
              <w:tc>
                <w:tcPr>
                  <w:tcW w:w="911" w:type="dxa"/>
                  <w:tcBorders>
                    <w:tl2br w:val="nil"/>
                    <w:tr2bl w:val="nil"/>
                  </w:tcBorders>
                  <w:noWrap w:val="0"/>
                  <w:vAlign w:val="center"/>
                </w:tcPr>
                <w:p w14:paraId="6F367161">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0.003 </w:t>
                  </w:r>
                </w:p>
              </w:tc>
            </w:tr>
            <w:tr w14:paraId="620CEA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418" w:type="dxa"/>
                  <w:tcBorders>
                    <w:tl2br w:val="nil"/>
                    <w:tr2bl w:val="nil"/>
                  </w:tcBorders>
                  <w:noWrap w:val="0"/>
                  <w:vAlign w:val="center"/>
                </w:tcPr>
                <w:p w14:paraId="15B57AE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设备冷却废水</w:t>
                  </w:r>
                </w:p>
              </w:tc>
              <w:tc>
                <w:tcPr>
                  <w:tcW w:w="873" w:type="dxa"/>
                  <w:tcBorders>
                    <w:tl2br w:val="nil"/>
                    <w:tr2bl w:val="nil"/>
                  </w:tcBorders>
                  <w:noWrap w:val="0"/>
                  <w:vAlign w:val="center"/>
                </w:tcPr>
                <w:p w14:paraId="37FBD96E">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SS</w:t>
                  </w:r>
                </w:p>
              </w:tc>
              <w:tc>
                <w:tcPr>
                  <w:tcW w:w="927" w:type="dxa"/>
                  <w:tcBorders>
                    <w:tl2br w:val="nil"/>
                    <w:tr2bl w:val="nil"/>
                  </w:tcBorders>
                  <w:noWrap w:val="0"/>
                  <w:vAlign w:val="center"/>
                </w:tcPr>
                <w:p w14:paraId="3C36A953">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200</w:t>
                  </w:r>
                </w:p>
              </w:tc>
              <w:tc>
                <w:tcPr>
                  <w:tcW w:w="763" w:type="dxa"/>
                  <w:tcBorders>
                    <w:tl2br w:val="nil"/>
                    <w:tr2bl w:val="nil"/>
                  </w:tcBorders>
                  <w:noWrap w:val="0"/>
                  <w:vAlign w:val="center"/>
                </w:tcPr>
                <w:p w14:paraId="3A1F8BCE">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150</w:t>
                  </w:r>
                </w:p>
              </w:tc>
              <w:tc>
                <w:tcPr>
                  <w:tcW w:w="996" w:type="dxa"/>
                  <w:tcBorders>
                    <w:tl2br w:val="nil"/>
                    <w:tr2bl w:val="nil"/>
                  </w:tcBorders>
                  <w:noWrap w:val="0"/>
                  <w:vAlign w:val="center"/>
                </w:tcPr>
                <w:p w14:paraId="6FE6E7A1">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0.03</w:t>
                  </w:r>
                </w:p>
              </w:tc>
              <w:tc>
                <w:tcPr>
                  <w:tcW w:w="385" w:type="dxa"/>
                  <w:vMerge w:val="continue"/>
                  <w:tcBorders>
                    <w:tl2br w:val="nil"/>
                    <w:tr2bl w:val="nil"/>
                  </w:tcBorders>
                  <w:noWrap w:val="0"/>
                  <w:vAlign w:val="center"/>
                </w:tcPr>
                <w:p w14:paraId="0526F96B">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p>
              </w:tc>
              <w:tc>
                <w:tcPr>
                  <w:tcW w:w="890" w:type="dxa"/>
                  <w:tcBorders>
                    <w:tl2br w:val="nil"/>
                    <w:tr2bl w:val="nil"/>
                  </w:tcBorders>
                  <w:noWrap w:val="0"/>
                  <w:vAlign w:val="center"/>
                </w:tcPr>
                <w:p w14:paraId="740F3426">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35</w:t>
                  </w:r>
                </w:p>
              </w:tc>
              <w:tc>
                <w:tcPr>
                  <w:tcW w:w="948" w:type="dxa"/>
                  <w:tcBorders>
                    <w:tl2br w:val="nil"/>
                    <w:tr2bl w:val="nil"/>
                  </w:tcBorders>
                  <w:noWrap w:val="0"/>
                  <w:vAlign w:val="center"/>
                </w:tcPr>
                <w:p w14:paraId="6A1E3235">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200</w:t>
                  </w:r>
                </w:p>
              </w:tc>
              <w:tc>
                <w:tcPr>
                  <w:tcW w:w="804" w:type="dxa"/>
                  <w:tcBorders>
                    <w:tl2br w:val="nil"/>
                    <w:tr2bl w:val="nil"/>
                  </w:tcBorders>
                  <w:noWrap w:val="0"/>
                  <w:vAlign w:val="center"/>
                </w:tcPr>
                <w:p w14:paraId="64CECFF5">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97.5</w:t>
                  </w:r>
                </w:p>
              </w:tc>
              <w:tc>
                <w:tcPr>
                  <w:tcW w:w="911" w:type="dxa"/>
                  <w:tcBorders>
                    <w:tl2br w:val="nil"/>
                    <w:tr2bl w:val="nil"/>
                  </w:tcBorders>
                  <w:noWrap w:val="0"/>
                  <w:vAlign w:val="center"/>
                </w:tcPr>
                <w:p w14:paraId="62398BFA">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0.019</w:t>
                  </w:r>
                </w:p>
              </w:tc>
            </w:tr>
          </w:tbl>
          <w:p w14:paraId="1B0D5A7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w:t>
            </w:r>
            <w:r>
              <w:rPr>
                <w:rFonts w:hint="eastAsia"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排放浓度可满足</w:t>
            </w:r>
            <w:r>
              <w:rPr>
                <w:rFonts w:hint="default" w:ascii="Times New Roman" w:hAnsi="Times New Roman" w:eastAsia="宋体" w:cs="Times New Roman"/>
                <w:color w:val="auto"/>
                <w:kern w:val="0"/>
                <w:sz w:val="24"/>
                <w:szCs w:val="24"/>
                <w:highlight w:val="none"/>
                <w:lang w:val="en-US" w:eastAsia="zh-CN" w:bidi="ar"/>
              </w:rPr>
              <w:t>《污水综合排放标准》（GB8978-1996）中三级标准及</w:t>
            </w:r>
            <w:r>
              <w:rPr>
                <w:rFonts w:hint="default" w:ascii="Times New Roman" w:hAnsi="Times New Roman" w:eastAsia="宋体" w:cs="Times New Roman"/>
                <w:color w:val="auto"/>
                <w:sz w:val="24"/>
                <w:szCs w:val="24"/>
                <w:highlight w:val="none"/>
              </w:rPr>
              <w:t>《污水排入城镇下水道水质标准》（GB/T31962-2015）B级标准</w:t>
            </w:r>
            <w:r>
              <w:rPr>
                <w:rFonts w:hint="eastAsia" w:eastAsia="宋体" w:cs="Times New Roman"/>
                <w:color w:val="auto"/>
                <w:sz w:val="24"/>
                <w:szCs w:val="24"/>
                <w:highlight w:val="none"/>
                <w:lang w:eastAsia="zh-CN"/>
              </w:rPr>
              <w:t>。</w:t>
            </w:r>
          </w:p>
          <w:p w14:paraId="1D8C77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（2）废水排放去向可行性分析</w:t>
            </w:r>
          </w:p>
          <w:p w14:paraId="7E65D2F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将在</w:t>
            </w: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号厂房</w:t>
            </w:r>
            <w:r>
              <w:rPr>
                <w:rFonts w:hint="default" w:ascii="Times New Roman" w:hAnsi="Times New Roman" w:eastAsia="宋体" w:cs="Times New Roman"/>
                <w:color w:val="auto"/>
                <w:sz w:val="24"/>
                <w:szCs w:val="24"/>
                <w:highlight w:val="none"/>
              </w:rPr>
              <w:t>西</w:t>
            </w:r>
            <w:r>
              <w:rPr>
                <w:rFonts w:hint="eastAsia" w:cs="Times New Roman"/>
                <w:color w:val="auto"/>
                <w:sz w:val="24"/>
                <w:szCs w:val="24"/>
                <w:highlight w:val="none"/>
                <w:lang w:eastAsia="zh-CN"/>
              </w:rPr>
              <w:t>北侧</w:t>
            </w:r>
            <w:r>
              <w:rPr>
                <w:rFonts w:hint="eastAsia" w:ascii="Times New Roman" w:hAnsi="Times New Roman" w:eastAsia="宋体" w:cs="Times New Roman"/>
                <w:color w:val="auto"/>
                <w:sz w:val="24"/>
                <w:szCs w:val="24"/>
                <w:highlight w:val="none"/>
                <w:lang w:val="en-US" w:eastAsia="zh-CN"/>
              </w:rPr>
              <w:t>建设一座化粪池</w:t>
            </w:r>
            <w:r>
              <w:rPr>
                <w:rFonts w:hint="eastAsia" w:ascii="Times New Roman" w:hAnsi="Times New Roman" w:eastAsia="宋体" w:cs="Times New Roman"/>
                <w:color w:val="auto"/>
                <w:sz w:val="24"/>
                <w:szCs w:val="24"/>
                <w:highlight w:val="none"/>
              </w:rPr>
              <w:t>，容积为</w:t>
            </w:r>
            <w:r>
              <w:rPr>
                <w:rFonts w:hint="eastAsia"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cs="Times New Roman"/>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rPr>
              <w:t>污水收集池1座（容积100m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废水排放</w:t>
            </w:r>
            <w:r>
              <w:rPr>
                <w:rFonts w:hint="eastAsia" w:ascii="Times New Roman" w:hAnsi="Times New Roman" w:eastAsia="宋体" w:cs="Times New Roman"/>
                <w:color w:val="auto"/>
                <w:sz w:val="24"/>
                <w:szCs w:val="24"/>
                <w:highlight w:val="none"/>
              </w:rPr>
              <w:t>量为</w:t>
            </w:r>
            <w:r>
              <w:rPr>
                <w:rFonts w:hint="eastAsia" w:cs="Times New Roman"/>
                <w:color w:val="auto"/>
                <w:sz w:val="24"/>
                <w:szCs w:val="24"/>
                <w:highlight w:val="none"/>
                <w:lang w:val="en-US" w:eastAsia="zh-CN"/>
              </w:rPr>
              <w:t>2.93</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化粪池</w:t>
            </w:r>
            <w:r>
              <w:rPr>
                <w:rFonts w:hint="eastAsia" w:cs="Times New Roman"/>
                <w:color w:val="auto"/>
                <w:sz w:val="24"/>
                <w:szCs w:val="24"/>
                <w:highlight w:val="none"/>
                <w:lang w:val="en-US" w:eastAsia="zh-CN"/>
              </w:rPr>
              <w:t>及</w:t>
            </w:r>
            <w:r>
              <w:rPr>
                <w:rFonts w:hint="eastAsia" w:ascii="Times New Roman" w:hAnsi="Times New Roman" w:eastAsia="宋体" w:cs="Times New Roman"/>
                <w:color w:val="auto"/>
                <w:sz w:val="24"/>
                <w:szCs w:val="24"/>
                <w:highlight w:val="none"/>
              </w:rPr>
              <w:t>污水收集池足以接纳本项目</w:t>
            </w:r>
            <w:r>
              <w:rPr>
                <w:rFonts w:hint="eastAsia" w:ascii="Times New Roman" w:hAnsi="Times New Roman" w:eastAsia="宋体" w:cs="Times New Roman"/>
                <w:color w:val="auto"/>
                <w:sz w:val="24"/>
                <w:szCs w:val="24"/>
                <w:highlight w:val="none"/>
                <w:lang w:val="en-US" w:eastAsia="zh-CN"/>
              </w:rPr>
              <w:t>废水</w:t>
            </w:r>
            <w:r>
              <w:rPr>
                <w:rFonts w:hint="eastAsia" w:cs="Times New Roman"/>
                <w:color w:val="auto"/>
                <w:sz w:val="24"/>
                <w:szCs w:val="24"/>
                <w:highlight w:val="none"/>
                <w:lang w:eastAsia="zh-CN"/>
              </w:rPr>
              <w:t>。</w:t>
            </w:r>
          </w:p>
          <w:p w14:paraId="19924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24"/>
                <w:highlight w:val="none"/>
              </w:rPr>
            </w:pPr>
            <w:r>
              <w:rPr>
                <w:rFonts w:hint="default"/>
                <w:color w:val="auto"/>
                <w:sz w:val="24"/>
                <w:szCs w:val="24"/>
                <w:highlight w:val="none"/>
              </w:rPr>
              <w:t>沣西新城大王污水处理厂位于大王街道东兴庄村北、新河西岸，总占地37.85亩，一期占地21.5亩，2018年年底启动建设，2020年1月投入运行。总规划规模为10000m</w:t>
            </w:r>
            <w:r>
              <w:rPr>
                <w:rFonts w:hint="default"/>
                <w:color w:val="auto"/>
                <w:sz w:val="24"/>
                <w:szCs w:val="24"/>
                <w:highlight w:val="none"/>
                <w:vertAlign w:val="superscript"/>
              </w:rPr>
              <w:t>3</w:t>
            </w:r>
            <w:r>
              <w:rPr>
                <w:rFonts w:hint="default"/>
                <w:color w:val="auto"/>
                <w:sz w:val="24"/>
                <w:szCs w:val="24"/>
                <w:highlight w:val="none"/>
              </w:rPr>
              <w:t>/d，一期建设规模为5000m</w:t>
            </w:r>
            <w:r>
              <w:rPr>
                <w:rFonts w:hint="default"/>
                <w:color w:val="auto"/>
                <w:sz w:val="24"/>
                <w:szCs w:val="24"/>
                <w:highlight w:val="none"/>
                <w:vertAlign w:val="superscript"/>
              </w:rPr>
              <w:t>3</w:t>
            </w:r>
            <w:r>
              <w:rPr>
                <w:rFonts w:hint="default"/>
                <w:color w:val="auto"/>
                <w:sz w:val="24"/>
                <w:szCs w:val="24"/>
                <w:highlight w:val="none"/>
              </w:rPr>
              <w:t>/d。污水处理厂采用国内先进的立体生态处理工艺，出水水质达到《陕西省黄河流域污水综合排放标准》（DB61/224-2018）表1中A标准，产生尾水按照100%再生利用设计，全部排至大王活水公园进行补水，用于公园绿地喷灌、道路洒水等。</w:t>
            </w:r>
          </w:p>
          <w:p w14:paraId="71295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color w:val="auto"/>
                <w:sz w:val="24"/>
                <w:szCs w:val="24"/>
                <w:highlight w:val="none"/>
              </w:rPr>
              <w:t>本项目位于沣西新城大王污水处理厂收水范围，</w:t>
            </w:r>
            <w:r>
              <w:rPr>
                <w:rFonts w:hint="eastAsia"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废水排放</w:t>
            </w:r>
            <w:r>
              <w:rPr>
                <w:rFonts w:hint="eastAsia" w:ascii="Times New Roman" w:hAnsi="Times New Roman" w:eastAsia="宋体" w:cs="Times New Roman"/>
                <w:color w:val="auto"/>
                <w:sz w:val="24"/>
                <w:szCs w:val="24"/>
                <w:highlight w:val="none"/>
              </w:rPr>
              <w:t>量为</w:t>
            </w:r>
            <w:r>
              <w:rPr>
                <w:rFonts w:hint="eastAsia" w:cs="Times New Roman"/>
                <w:color w:val="auto"/>
                <w:sz w:val="24"/>
                <w:szCs w:val="24"/>
                <w:highlight w:val="none"/>
                <w:lang w:val="en-US" w:eastAsia="zh-CN"/>
              </w:rPr>
              <w:t>2.93</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color w:val="auto"/>
                <w:sz w:val="24"/>
                <w:szCs w:val="24"/>
                <w:highlight w:val="none"/>
                <w:lang w:val="en-US" w:eastAsia="zh-CN"/>
              </w:rPr>
              <w:t>，</w:t>
            </w:r>
            <w:r>
              <w:rPr>
                <w:rFonts w:hint="default"/>
                <w:color w:val="auto"/>
                <w:sz w:val="24"/>
                <w:szCs w:val="24"/>
                <w:highlight w:val="none"/>
              </w:rPr>
              <w:t>排放水量占处理水量的0.0</w:t>
            </w:r>
            <w:r>
              <w:rPr>
                <w:rFonts w:hint="eastAsia"/>
                <w:color w:val="auto"/>
                <w:sz w:val="24"/>
                <w:szCs w:val="24"/>
                <w:highlight w:val="none"/>
                <w:lang w:val="en-US" w:eastAsia="zh-CN"/>
              </w:rPr>
              <w:t>06</w:t>
            </w:r>
            <w:r>
              <w:rPr>
                <w:rFonts w:hint="default"/>
                <w:color w:val="auto"/>
                <w:sz w:val="24"/>
                <w:szCs w:val="24"/>
                <w:highlight w:val="none"/>
              </w:rPr>
              <w:t>%，</w:t>
            </w:r>
            <w:r>
              <w:rPr>
                <w:rFonts w:hint="eastAsia"/>
                <w:color w:val="auto"/>
                <w:sz w:val="24"/>
                <w:szCs w:val="24"/>
                <w:highlight w:val="none"/>
                <w:lang w:val="en-US" w:eastAsia="zh-CN"/>
              </w:rPr>
              <w:t>沣西新城大王污水处理厂</w:t>
            </w:r>
            <w:r>
              <w:rPr>
                <w:rFonts w:hint="default"/>
                <w:color w:val="auto"/>
                <w:sz w:val="24"/>
                <w:szCs w:val="24"/>
                <w:highlight w:val="none"/>
              </w:rPr>
              <w:t>能够接纳并处理</w:t>
            </w:r>
            <w:r>
              <w:rPr>
                <w:rFonts w:hint="eastAsia"/>
                <w:color w:val="auto"/>
                <w:sz w:val="24"/>
                <w:szCs w:val="24"/>
                <w:highlight w:val="none"/>
                <w:lang w:val="en-US" w:eastAsia="zh-CN"/>
              </w:rPr>
              <w:t>本</w:t>
            </w:r>
            <w:r>
              <w:rPr>
                <w:rFonts w:hint="default"/>
                <w:color w:val="auto"/>
                <w:sz w:val="24"/>
                <w:szCs w:val="24"/>
                <w:highlight w:val="none"/>
              </w:rPr>
              <w:t>项目的废水。因此，项目废水不会对周边地表水环境产生影响</w:t>
            </w:r>
            <w:r>
              <w:rPr>
                <w:rFonts w:hint="default" w:ascii="Times New Roman" w:hAnsi="Times New Roman" w:eastAsia="宋体" w:cs="Times New Roman"/>
                <w:color w:val="auto"/>
                <w:sz w:val="24"/>
                <w:szCs w:val="24"/>
                <w:highlight w:val="none"/>
              </w:rPr>
              <w:t>。</w:t>
            </w:r>
          </w:p>
          <w:p w14:paraId="37741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项目废水污染物排放信息表</w:t>
            </w:r>
          </w:p>
          <w:p w14:paraId="1B7A7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废水类别、污染物及污染治理设施信息表、废水间接排放口基本情况表、项目废水污染物排放标准、废水污染物排放信息表见下表。</w:t>
            </w:r>
          </w:p>
          <w:p w14:paraId="100E8C54">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 xml:space="preserve">  废水类别、污染物及污染治理设施信息表</w:t>
            </w:r>
          </w:p>
          <w:tbl>
            <w:tblPr>
              <w:tblStyle w:val="2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35"/>
              <w:gridCol w:w="849"/>
              <w:gridCol w:w="558"/>
              <w:gridCol w:w="664"/>
              <w:gridCol w:w="954"/>
              <w:gridCol w:w="640"/>
              <w:gridCol w:w="840"/>
              <w:gridCol w:w="729"/>
              <w:gridCol w:w="686"/>
              <w:gridCol w:w="1263"/>
            </w:tblGrid>
            <w:tr w14:paraId="793E7D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64" w:type="pct"/>
                  <w:vMerge w:val="restart"/>
                  <w:tcBorders>
                    <w:tl2br w:val="nil"/>
                    <w:tr2bl w:val="nil"/>
                  </w:tcBorders>
                  <w:noWrap w:val="0"/>
                  <w:vAlign w:val="center"/>
                </w:tcPr>
                <w:p w14:paraId="3741EB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废水类别</w:t>
                  </w:r>
                  <w:r>
                    <w:rPr>
                      <w:rFonts w:hint="default" w:ascii="Times New Roman" w:hAnsi="Times New Roman" w:eastAsia="宋体" w:cs="Times New Roman"/>
                      <w:color w:val="auto"/>
                      <w:kern w:val="0"/>
                      <w:szCs w:val="21"/>
                      <w:highlight w:val="none"/>
                      <w:vertAlign w:val="superscript"/>
                      <w:lang w:val="en-US" w:eastAsia="zh-CN" w:bidi="ar"/>
                    </w:rPr>
                    <w:t>a</w:t>
                  </w:r>
                </w:p>
              </w:tc>
              <w:tc>
                <w:tcPr>
                  <w:tcW w:w="536" w:type="pct"/>
                  <w:vMerge w:val="restart"/>
                  <w:tcBorders>
                    <w:tl2br w:val="nil"/>
                    <w:tr2bl w:val="nil"/>
                  </w:tcBorders>
                  <w:noWrap w:val="0"/>
                  <w:vAlign w:val="center"/>
                </w:tcPr>
                <w:p w14:paraId="1FBA44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污染物</w:t>
                  </w:r>
                </w:p>
                <w:p w14:paraId="49EA8E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种类</w:t>
                  </w:r>
                  <w:r>
                    <w:rPr>
                      <w:rFonts w:hint="default" w:ascii="Times New Roman" w:hAnsi="Times New Roman" w:eastAsia="宋体" w:cs="Times New Roman"/>
                      <w:color w:val="auto"/>
                      <w:kern w:val="0"/>
                      <w:szCs w:val="21"/>
                      <w:highlight w:val="none"/>
                      <w:vertAlign w:val="superscript"/>
                      <w:lang w:val="en-US" w:eastAsia="zh-CN" w:bidi="ar"/>
                    </w:rPr>
                    <w:t>b</w:t>
                  </w:r>
                </w:p>
              </w:tc>
              <w:tc>
                <w:tcPr>
                  <w:tcW w:w="352" w:type="pct"/>
                  <w:vMerge w:val="restart"/>
                  <w:tcBorders>
                    <w:tl2br w:val="nil"/>
                    <w:tr2bl w:val="nil"/>
                  </w:tcBorders>
                  <w:noWrap w:val="0"/>
                  <w:vAlign w:val="center"/>
                </w:tcPr>
                <w:p w14:paraId="4100C2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排放去向</w:t>
                  </w:r>
                  <w:r>
                    <w:rPr>
                      <w:rFonts w:hint="default" w:ascii="Times New Roman" w:hAnsi="Times New Roman" w:eastAsia="宋体" w:cs="Times New Roman"/>
                      <w:color w:val="auto"/>
                      <w:kern w:val="0"/>
                      <w:szCs w:val="21"/>
                      <w:highlight w:val="none"/>
                      <w:vertAlign w:val="superscript"/>
                      <w:lang w:val="en-US" w:eastAsia="zh-CN" w:bidi="ar"/>
                    </w:rPr>
                    <w:t>c</w:t>
                  </w:r>
                </w:p>
              </w:tc>
              <w:tc>
                <w:tcPr>
                  <w:tcW w:w="419" w:type="pct"/>
                  <w:vMerge w:val="restart"/>
                  <w:tcBorders>
                    <w:tl2br w:val="nil"/>
                    <w:tr2bl w:val="nil"/>
                  </w:tcBorders>
                  <w:noWrap w:val="0"/>
                  <w:vAlign w:val="center"/>
                </w:tcPr>
                <w:p w14:paraId="38EB4E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排放规律</w:t>
                  </w:r>
                  <w:r>
                    <w:rPr>
                      <w:rFonts w:hint="default" w:ascii="Times New Roman" w:hAnsi="Times New Roman" w:eastAsia="宋体" w:cs="Times New Roman"/>
                      <w:color w:val="auto"/>
                      <w:kern w:val="0"/>
                      <w:szCs w:val="21"/>
                      <w:highlight w:val="none"/>
                      <w:vertAlign w:val="superscript"/>
                      <w:lang w:val="en-US" w:eastAsia="zh-CN" w:bidi="ar"/>
                    </w:rPr>
                    <w:t>d</w:t>
                  </w:r>
                </w:p>
              </w:tc>
              <w:tc>
                <w:tcPr>
                  <w:tcW w:w="1536" w:type="pct"/>
                  <w:gridSpan w:val="3"/>
                  <w:tcBorders>
                    <w:tl2br w:val="nil"/>
                    <w:tr2bl w:val="nil"/>
                  </w:tcBorders>
                  <w:noWrap w:val="0"/>
                  <w:vAlign w:val="center"/>
                </w:tcPr>
                <w:p w14:paraId="501327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污染治理设施</w:t>
                  </w:r>
                </w:p>
              </w:tc>
              <w:tc>
                <w:tcPr>
                  <w:tcW w:w="460" w:type="pct"/>
                  <w:vMerge w:val="restart"/>
                  <w:tcBorders>
                    <w:tl2br w:val="nil"/>
                    <w:tr2bl w:val="nil"/>
                  </w:tcBorders>
                  <w:noWrap w:val="0"/>
                  <w:vAlign w:val="center"/>
                </w:tcPr>
                <w:p w14:paraId="777492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排放口编号</w:t>
                  </w:r>
                  <w:r>
                    <w:rPr>
                      <w:rFonts w:hint="default" w:ascii="Times New Roman" w:hAnsi="Times New Roman" w:eastAsia="宋体" w:cs="Times New Roman"/>
                      <w:color w:val="auto"/>
                      <w:kern w:val="0"/>
                      <w:szCs w:val="21"/>
                      <w:highlight w:val="none"/>
                      <w:vertAlign w:val="superscript"/>
                      <w:lang w:val="en-US" w:eastAsia="zh-CN" w:bidi="ar"/>
                    </w:rPr>
                    <w:t>f</w:t>
                  </w:r>
                </w:p>
              </w:tc>
              <w:tc>
                <w:tcPr>
                  <w:tcW w:w="433" w:type="pct"/>
                  <w:vMerge w:val="restart"/>
                  <w:tcBorders>
                    <w:tl2br w:val="nil"/>
                    <w:tr2bl w:val="nil"/>
                  </w:tcBorders>
                  <w:noWrap w:val="0"/>
                  <w:vAlign w:val="center"/>
                </w:tcPr>
                <w:p w14:paraId="175CBE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排放口设置是否符合要求</w:t>
                  </w:r>
                  <w:r>
                    <w:rPr>
                      <w:rFonts w:hint="default" w:ascii="Times New Roman" w:hAnsi="Times New Roman" w:eastAsia="宋体" w:cs="Times New Roman"/>
                      <w:color w:val="auto"/>
                      <w:kern w:val="0"/>
                      <w:szCs w:val="21"/>
                      <w:highlight w:val="none"/>
                      <w:vertAlign w:val="superscript"/>
                      <w:lang w:val="en-US" w:eastAsia="zh-CN" w:bidi="ar"/>
                    </w:rPr>
                    <w:t>g</w:t>
                  </w:r>
                </w:p>
              </w:tc>
              <w:tc>
                <w:tcPr>
                  <w:tcW w:w="797" w:type="pct"/>
                  <w:vMerge w:val="restart"/>
                  <w:tcBorders>
                    <w:tl2br w:val="nil"/>
                    <w:tr2bl w:val="nil"/>
                  </w:tcBorders>
                  <w:noWrap w:val="0"/>
                  <w:vAlign w:val="center"/>
                </w:tcPr>
                <w:p w14:paraId="2960AE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排放口</w:t>
                  </w:r>
                </w:p>
                <w:p w14:paraId="594E45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类型</w:t>
                  </w:r>
                </w:p>
              </w:tc>
            </w:tr>
            <w:tr w14:paraId="301FF2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21" w:hRule="atLeast"/>
                <w:jc w:val="center"/>
              </w:trPr>
              <w:tc>
                <w:tcPr>
                  <w:tcW w:w="464" w:type="pct"/>
                  <w:vMerge w:val="continue"/>
                  <w:tcBorders>
                    <w:tl2br w:val="nil"/>
                    <w:tr2bl w:val="nil"/>
                  </w:tcBorders>
                  <w:noWrap w:val="0"/>
                  <w:vAlign w:val="center"/>
                </w:tcPr>
                <w:p w14:paraId="127B4339">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p>
              </w:tc>
              <w:tc>
                <w:tcPr>
                  <w:tcW w:w="536" w:type="pct"/>
                  <w:vMerge w:val="continue"/>
                  <w:tcBorders>
                    <w:tl2br w:val="nil"/>
                    <w:tr2bl w:val="nil"/>
                  </w:tcBorders>
                  <w:noWrap w:val="0"/>
                  <w:vAlign w:val="center"/>
                </w:tcPr>
                <w:p w14:paraId="26B942CE">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noWrap w:val="0"/>
                  <w:vAlign w:val="center"/>
                </w:tcPr>
                <w:p w14:paraId="4B7A2BD5">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p>
              </w:tc>
              <w:tc>
                <w:tcPr>
                  <w:tcW w:w="419" w:type="pct"/>
                  <w:vMerge w:val="continue"/>
                  <w:tcBorders>
                    <w:tl2br w:val="nil"/>
                    <w:tr2bl w:val="nil"/>
                  </w:tcBorders>
                  <w:noWrap w:val="0"/>
                  <w:vAlign w:val="center"/>
                </w:tcPr>
                <w:p w14:paraId="511BB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p>
              </w:tc>
              <w:tc>
                <w:tcPr>
                  <w:tcW w:w="602" w:type="pct"/>
                  <w:tcBorders>
                    <w:tl2br w:val="nil"/>
                    <w:tr2bl w:val="nil"/>
                  </w:tcBorders>
                  <w:noWrap w:val="0"/>
                  <w:vAlign w:val="center"/>
                </w:tcPr>
                <w:p w14:paraId="196DF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污染治理设施编号</w:t>
                  </w:r>
                </w:p>
              </w:tc>
              <w:tc>
                <w:tcPr>
                  <w:tcW w:w="404" w:type="pct"/>
                  <w:tcBorders>
                    <w:tl2br w:val="nil"/>
                    <w:tr2bl w:val="nil"/>
                  </w:tcBorders>
                  <w:noWrap w:val="0"/>
                  <w:vAlign w:val="center"/>
                </w:tcPr>
                <w:p w14:paraId="74DD49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污染治理设施</w:t>
                  </w:r>
                </w:p>
                <w:p w14:paraId="54A339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名称</w:t>
                  </w:r>
                  <w:r>
                    <w:rPr>
                      <w:rFonts w:hint="default" w:ascii="Times New Roman" w:hAnsi="Times New Roman" w:eastAsia="宋体" w:cs="Times New Roman"/>
                      <w:color w:val="auto"/>
                      <w:kern w:val="0"/>
                      <w:szCs w:val="21"/>
                      <w:highlight w:val="none"/>
                      <w:vertAlign w:val="superscript"/>
                      <w:lang w:val="en-US" w:eastAsia="zh-CN" w:bidi="ar"/>
                    </w:rPr>
                    <w:t>e</w:t>
                  </w:r>
                </w:p>
              </w:tc>
              <w:tc>
                <w:tcPr>
                  <w:tcW w:w="529" w:type="pct"/>
                  <w:tcBorders>
                    <w:tl2br w:val="nil"/>
                    <w:tr2bl w:val="nil"/>
                  </w:tcBorders>
                  <w:noWrap w:val="0"/>
                  <w:vAlign w:val="center"/>
                </w:tcPr>
                <w:p w14:paraId="2044F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污染治理设施工艺</w:t>
                  </w:r>
                </w:p>
              </w:tc>
              <w:tc>
                <w:tcPr>
                  <w:tcW w:w="460" w:type="pct"/>
                  <w:vMerge w:val="continue"/>
                  <w:tcBorders>
                    <w:tl2br w:val="nil"/>
                    <w:tr2bl w:val="nil"/>
                  </w:tcBorders>
                  <w:noWrap w:val="0"/>
                  <w:vAlign w:val="center"/>
                </w:tcPr>
                <w:p w14:paraId="59B87C35">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p>
              </w:tc>
              <w:tc>
                <w:tcPr>
                  <w:tcW w:w="433" w:type="pct"/>
                  <w:vMerge w:val="continue"/>
                  <w:tcBorders>
                    <w:tl2br w:val="nil"/>
                    <w:tr2bl w:val="nil"/>
                  </w:tcBorders>
                  <w:noWrap w:val="0"/>
                  <w:vAlign w:val="center"/>
                </w:tcPr>
                <w:p w14:paraId="4970F2AE">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p>
              </w:tc>
              <w:tc>
                <w:tcPr>
                  <w:tcW w:w="797" w:type="pct"/>
                  <w:vMerge w:val="continue"/>
                  <w:tcBorders>
                    <w:tl2br w:val="nil"/>
                    <w:tr2bl w:val="nil"/>
                  </w:tcBorders>
                  <w:noWrap w:val="0"/>
                  <w:vAlign w:val="center"/>
                </w:tcPr>
                <w:p w14:paraId="0B508C7F">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p>
              </w:tc>
            </w:tr>
            <w:tr w14:paraId="0C547C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64" w:type="pct"/>
                  <w:tcBorders>
                    <w:tl2br w:val="nil"/>
                    <w:tr2bl w:val="nil"/>
                  </w:tcBorders>
                  <w:noWrap w:val="0"/>
                  <w:vAlign w:val="center"/>
                </w:tcPr>
                <w:p w14:paraId="1FDB4426">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生活污水</w:t>
                  </w:r>
                  <w:r>
                    <w:rPr>
                      <w:rFonts w:hint="eastAsia"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设备冷却废水</w:t>
                  </w:r>
                </w:p>
              </w:tc>
              <w:tc>
                <w:tcPr>
                  <w:tcW w:w="536" w:type="pct"/>
                  <w:tcBorders>
                    <w:tl2br w:val="nil"/>
                    <w:tr2bl w:val="nil"/>
                  </w:tcBorders>
                  <w:noWrap w:val="0"/>
                  <w:vAlign w:val="center"/>
                </w:tcPr>
                <w:p w14:paraId="231D3588">
                  <w:pPr>
                    <w:pStyle w:val="91"/>
                    <w:keepNext w:val="0"/>
                    <w:keepLines w:val="0"/>
                    <w:suppressLineNumbers w:val="0"/>
                    <w:spacing w:beforeAutospacing="0" w:afterAutospacing="0"/>
                    <w:ind w:lef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、SS、氨氮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总磷、总氮</w:t>
                  </w:r>
                </w:p>
              </w:tc>
              <w:tc>
                <w:tcPr>
                  <w:tcW w:w="352" w:type="pct"/>
                  <w:tcBorders>
                    <w:tl2br w:val="nil"/>
                    <w:tr2bl w:val="nil"/>
                  </w:tcBorders>
                  <w:noWrap w:val="0"/>
                  <w:vAlign w:val="center"/>
                </w:tcPr>
                <w:p w14:paraId="74700A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沣西新城大王污水处理厂</w:t>
                  </w:r>
                </w:p>
              </w:tc>
              <w:tc>
                <w:tcPr>
                  <w:tcW w:w="419" w:type="pct"/>
                  <w:tcBorders>
                    <w:tl2br w:val="nil"/>
                    <w:tr2bl w:val="nil"/>
                  </w:tcBorders>
                  <w:noWrap w:val="0"/>
                  <w:vAlign w:val="center"/>
                </w:tcPr>
                <w:p w14:paraId="110229D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jc w:val="both"/>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间断排放，排放期间流量不稳定且无规律，但不属于冲击型排放</w:t>
                  </w:r>
                </w:p>
              </w:tc>
              <w:tc>
                <w:tcPr>
                  <w:tcW w:w="602" w:type="pct"/>
                  <w:tcBorders>
                    <w:tl2br w:val="nil"/>
                    <w:tr2bl w:val="nil"/>
                  </w:tcBorders>
                  <w:noWrap w:val="0"/>
                  <w:vAlign w:val="center"/>
                </w:tcPr>
                <w:p w14:paraId="4C180A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TW001</w:t>
                  </w:r>
                </w:p>
              </w:tc>
              <w:tc>
                <w:tcPr>
                  <w:tcW w:w="404" w:type="pct"/>
                  <w:tcBorders>
                    <w:tl2br w:val="nil"/>
                    <w:tr2bl w:val="nil"/>
                  </w:tcBorders>
                  <w:noWrap w:val="0"/>
                  <w:vAlign w:val="center"/>
                </w:tcPr>
                <w:p w14:paraId="5033BCD3">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化</w:t>
                  </w:r>
                </w:p>
                <w:p w14:paraId="7C035024">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粪</w:t>
                  </w:r>
                </w:p>
                <w:p w14:paraId="118B3F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池</w:t>
                  </w:r>
                </w:p>
              </w:tc>
              <w:tc>
                <w:tcPr>
                  <w:tcW w:w="529" w:type="pct"/>
                  <w:tcBorders>
                    <w:tl2br w:val="nil"/>
                    <w:tr2bl w:val="nil"/>
                  </w:tcBorders>
                  <w:noWrap w:val="0"/>
                  <w:vAlign w:val="center"/>
                </w:tcPr>
                <w:p w14:paraId="50A1AB26">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沉淀+厌氧发酵</w:t>
                  </w:r>
                </w:p>
              </w:tc>
              <w:tc>
                <w:tcPr>
                  <w:tcW w:w="460" w:type="pct"/>
                  <w:tcBorders>
                    <w:tl2br w:val="nil"/>
                    <w:tr2bl w:val="nil"/>
                  </w:tcBorders>
                  <w:noWrap w:val="0"/>
                  <w:vAlign w:val="center"/>
                </w:tcPr>
                <w:p w14:paraId="31162AD1">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DW001</w:t>
                  </w:r>
                </w:p>
              </w:tc>
              <w:tc>
                <w:tcPr>
                  <w:tcW w:w="433" w:type="pct"/>
                  <w:tcBorders>
                    <w:tl2br w:val="nil"/>
                    <w:tr2bl w:val="nil"/>
                  </w:tcBorders>
                  <w:noWrap w:val="0"/>
                  <w:vAlign w:val="center"/>
                </w:tcPr>
                <w:p w14:paraId="4D23434B">
                  <w:pPr>
                    <w:pStyle w:val="91"/>
                    <w:keepNext w:val="0"/>
                    <w:keepLines w:val="0"/>
                    <w:suppressLineNumbers w:val="0"/>
                    <w:spacing w:beforeAutospacing="0" w:afterAutospacing="0"/>
                    <w:ind w:left="0"/>
                    <w:rPr>
                      <w:rFonts w:hint="default" w:ascii="Times New Roman" w:hAnsi="Times New Roman" w:eastAsia="宋体" w:cs="Times New Roman"/>
                      <w:color w:val="auto"/>
                      <w:kern w:val="20"/>
                      <w:sz w:val="21"/>
                      <w:szCs w:val="21"/>
                      <w:highlight w:val="none"/>
                    </w:rPr>
                  </w:pP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rPr>
                    <w:t>是</w:t>
                  </w:r>
                </w:p>
                <w:p w14:paraId="252E506C">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c>
                <w:tcPr>
                  <w:tcW w:w="797" w:type="pct"/>
                  <w:tcBorders>
                    <w:tl2br w:val="nil"/>
                    <w:tr2bl w:val="nil"/>
                  </w:tcBorders>
                  <w:noWrap w:val="0"/>
                  <w:vAlign w:val="center"/>
                </w:tcPr>
                <w:p w14:paraId="7CA1D2C7">
                  <w:pPr>
                    <w:pStyle w:val="91"/>
                    <w:keepNext w:val="0"/>
                    <w:keepLines w:val="0"/>
                    <w:suppressLineNumbers w:val="0"/>
                    <w:spacing w:beforeAutospacing="0" w:afterAutospacing="0"/>
                    <w:ind w:left="0"/>
                    <w:rPr>
                      <w:rFonts w:hint="default" w:ascii="Times New Roman" w:hAnsi="Times New Roman" w:eastAsia="宋体" w:cs="Times New Roman"/>
                      <w:color w:val="auto"/>
                      <w:kern w:val="20"/>
                      <w:sz w:val="21"/>
                      <w:szCs w:val="21"/>
                      <w:highlight w:val="none"/>
                    </w:rPr>
                  </w:pP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rPr>
                    <w:t>企业总排</w:t>
                  </w:r>
                </w:p>
                <w:p w14:paraId="2D55A80E">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□雨水排放</w:t>
                  </w:r>
                </w:p>
                <w:p w14:paraId="710AE74B">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10"/>
                      <w:sz w:val="21"/>
                      <w:szCs w:val="21"/>
                      <w:highlight w:val="none"/>
                    </w:rPr>
                    <w:t>清净下水排放</w:t>
                  </w:r>
                </w:p>
                <w:p w14:paraId="3CC0AE0B">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□温排水排放</w:t>
                  </w:r>
                </w:p>
                <w:p w14:paraId="25BDFA52">
                  <w:pPr>
                    <w:pStyle w:val="91"/>
                    <w:keepNext w:val="0"/>
                    <w:keepLines w:val="0"/>
                    <w:suppressLineNumbers w:val="0"/>
                    <w:spacing w:beforeAutospacing="0" w:afterAutospacing="0"/>
                    <w:ind w:lef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□车间或车间处理设施排放</w:t>
                  </w:r>
                </w:p>
              </w:tc>
            </w:tr>
          </w:tbl>
          <w:p w14:paraId="396E3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eastAsia="zh-CN"/>
              </w:rPr>
              <w:t>废水监测计划</w:t>
            </w:r>
          </w:p>
          <w:p w14:paraId="2BE6645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t>根据本项目运营期各项污染物的污染特点及《排污单位自行监测技术指南总则》（HJ819-2017）中的相关监测要求，制定了本项目运营期废水污染源与环境监测计划表，</w:t>
            </w:r>
            <w:r>
              <w:rPr>
                <w:rFonts w:hint="eastAsia" w:cs="Times New Roman"/>
                <w:color w:val="auto"/>
                <w:kern w:val="2"/>
                <w:sz w:val="24"/>
                <w:szCs w:val="24"/>
                <w:highlight w:val="none"/>
                <w:lang w:val="en-US" w:eastAsia="zh-CN" w:bidi="ar"/>
              </w:rPr>
              <w:t>监测点</w:t>
            </w:r>
            <w:r>
              <w:rPr>
                <w:rFonts w:hint="default" w:ascii="Times New Roman" w:hAnsi="Times New Roman" w:eastAsia="宋体" w:cs="Times New Roman"/>
                <w:color w:val="auto"/>
                <w:kern w:val="2"/>
                <w:sz w:val="24"/>
                <w:szCs w:val="24"/>
                <w:highlight w:val="none"/>
                <w:lang w:val="en-US" w:eastAsia="zh-CN" w:bidi="ar"/>
              </w:rPr>
              <w:t>为</w:t>
            </w:r>
            <w:r>
              <w:rPr>
                <w:rFonts w:hint="eastAsia" w:cs="Times New Roman"/>
                <w:color w:val="auto"/>
                <w:kern w:val="2"/>
                <w:sz w:val="24"/>
                <w:szCs w:val="24"/>
                <w:highlight w:val="none"/>
                <w:lang w:val="en-US" w:eastAsia="zh-CN" w:bidi="ar"/>
              </w:rPr>
              <w:t>企业总排</w:t>
            </w:r>
            <w:r>
              <w:rPr>
                <w:rFonts w:hint="default" w:ascii="Times New Roman" w:hAnsi="Times New Roman" w:eastAsia="宋体" w:cs="Times New Roman"/>
                <w:color w:val="auto"/>
                <w:kern w:val="2"/>
                <w:sz w:val="24"/>
                <w:szCs w:val="24"/>
                <w:highlight w:val="none"/>
                <w:lang w:val="en-US" w:eastAsia="zh-CN" w:bidi="ar"/>
              </w:rPr>
              <w:t>口，可按照表4-</w:t>
            </w:r>
            <w:r>
              <w:rPr>
                <w:rFonts w:hint="eastAsia" w:cs="Times New Roman"/>
                <w:color w:val="auto"/>
                <w:kern w:val="2"/>
                <w:sz w:val="24"/>
                <w:szCs w:val="24"/>
                <w:highlight w:val="none"/>
                <w:lang w:val="en-US" w:eastAsia="zh-CN" w:bidi="ar"/>
              </w:rPr>
              <w:t>7</w:t>
            </w:r>
            <w:r>
              <w:rPr>
                <w:rFonts w:hint="default" w:ascii="Times New Roman" w:hAnsi="Times New Roman" w:eastAsia="宋体" w:cs="Times New Roman"/>
                <w:color w:val="auto"/>
                <w:kern w:val="2"/>
                <w:sz w:val="24"/>
                <w:szCs w:val="24"/>
                <w:highlight w:val="none"/>
                <w:lang w:val="en-US" w:eastAsia="zh-CN" w:bidi="ar"/>
              </w:rPr>
              <w:t>进行监测。</w:t>
            </w:r>
          </w:p>
          <w:p w14:paraId="369A1DBF">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表4-</w:t>
            </w:r>
            <w:r>
              <w:rPr>
                <w:rFonts w:hint="eastAsia" w:cs="Times New Roman"/>
                <w:b/>
                <w:bCs w:val="0"/>
                <w:color w:val="auto"/>
                <w:kern w:val="2"/>
                <w:sz w:val="21"/>
                <w:szCs w:val="21"/>
                <w:highlight w:val="none"/>
                <w:lang w:val="en-US" w:eastAsia="zh-CN" w:bidi="ar"/>
              </w:rPr>
              <w:t>7</w:t>
            </w:r>
            <w:r>
              <w:rPr>
                <w:rFonts w:hint="default" w:ascii="Times New Roman" w:hAnsi="Times New Roman" w:eastAsia="宋体" w:cs="Times New Roman"/>
                <w:b/>
                <w:bCs w:val="0"/>
                <w:color w:val="auto"/>
                <w:kern w:val="2"/>
                <w:sz w:val="21"/>
                <w:szCs w:val="21"/>
                <w:highlight w:val="none"/>
                <w:lang w:val="en-US" w:eastAsia="zh-CN" w:bidi="ar"/>
              </w:rPr>
              <w:t xml:space="preserve">  运营期废水污染源环境监测计划</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389"/>
              <w:gridCol w:w="1195"/>
              <w:gridCol w:w="1056"/>
              <w:gridCol w:w="3447"/>
            </w:tblGrid>
            <w:tr w14:paraId="1531B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4" w:type="dxa"/>
                  <w:tcBorders>
                    <w:top w:val="single" w:color="auto" w:sz="12" w:space="0"/>
                    <w:left w:val="single" w:color="auto" w:sz="12" w:space="0"/>
                    <w:bottom w:val="single" w:color="auto" w:sz="4" w:space="0"/>
                    <w:right w:val="single" w:color="auto" w:sz="4" w:space="0"/>
                  </w:tcBorders>
                  <w:noWrap w:val="0"/>
                  <w:vAlign w:val="center"/>
                </w:tcPr>
                <w:p w14:paraId="17E7C68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污染源</w:t>
                  </w:r>
                </w:p>
              </w:tc>
              <w:tc>
                <w:tcPr>
                  <w:tcW w:w="1466" w:type="dxa"/>
                  <w:tcBorders>
                    <w:top w:val="single" w:color="auto" w:sz="12" w:space="0"/>
                    <w:left w:val="single" w:color="auto" w:sz="4" w:space="0"/>
                    <w:bottom w:val="single" w:color="auto" w:sz="4" w:space="0"/>
                    <w:right w:val="single" w:color="auto" w:sz="4" w:space="0"/>
                  </w:tcBorders>
                  <w:noWrap w:val="0"/>
                  <w:vAlign w:val="center"/>
                </w:tcPr>
                <w:p w14:paraId="4EB4884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监测项目</w:t>
                  </w:r>
                </w:p>
              </w:tc>
              <w:tc>
                <w:tcPr>
                  <w:tcW w:w="1266" w:type="dxa"/>
                  <w:tcBorders>
                    <w:top w:val="single" w:color="auto" w:sz="12" w:space="0"/>
                    <w:left w:val="single" w:color="auto" w:sz="4" w:space="0"/>
                    <w:bottom w:val="single" w:color="auto" w:sz="4" w:space="0"/>
                    <w:right w:val="single" w:color="auto" w:sz="4" w:space="0"/>
                  </w:tcBorders>
                  <w:noWrap w:val="0"/>
                  <w:tcMar>
                    <w:left w:w="57" w:type="dxa"/>
                    <w:right w:w="57" w:type="dxa"/>
                  </w:tcMar>
                  <w:vAlign w:val="center"/>
                </w:tcPr>
                <w:p w14:paraId="1582264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监测点</w:t>
                  </w:r>
                </w:p>
              </w:tc>
              <w:tc>
                <w:tcPr>
                  <w:tcW w:w="1111" w:type="dxa"/>
                  <w:tcBorders>
                    <w:top w:val="single" w:color="auto" w:sz="12" w:space="0"/>
                    <w:left w:val="single" w:color="auto" w:sz="4" w:space="0"/>
                    <w:bottom w:val="single" w:color="auto" w:sz="4" w:space="0"/>
                    <w:right w:val="single" w:color="auto" w:sz="4" w:space="0"/>
                  </w:tcBorders>
                  <w:noWrap w:val="0"/>
                  <w:vAlign w:val="center"/>
                </w:tcPr>
                <w:p w14:paraId="1F8C22E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监测频率</w:t>
                  </w:r>
                </w:p>
              </w:tc>
              <w:tc>
                <w:tcPr>
                  <w:tcW w:w="3658" w:type="dxa"/>
                  <w:tcBorders>
                    <w:top w:val="single" w:color="auto" w:sz="12" w:space="0"/>
                    <w:left w:val="single" w:color="auto" w:sz="4" w:space="0"/>
                    <w:bottom w:val="single" w:color="auto" w:sz="4" w:space="0"/>
                    <w:right w:val="single" w:color="auto" w:sz="12" w:space="0"/>
                  </w:tcBorders>
                  <w:noWrap w:val="0"/>
                  <w:vAlign w:val="center"/>
                </w:tcPr>
                <w:p w14:paraId="589180D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标准</w:t>
                  </w:r>
                </w:p>
              </w:tc>
            </w:tr>
            <w:tr w14:paraId="79469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4" w:type="dxa"/>
                  <w:tcBorders>
                    <w:top w:val="single" w:color="auto" w:sz="4" w:space="0"/>
                    <w:left w:val="single" w:color="auto" w:sz="12" w:space="0"/>
                    <w:bottom w:val="single" w:color="auto" w:sz="12" w:space="0"/>
                    <w:right w:val="single" w:color="auto" w:sz="4" w:space="0"/>
                  </w:tcBorders>
                  <w:noWrap w:val="0"/>
                  <w:vAlign w:val="center"/>
                </w:tcPr>
                <w:p w14:paraId="651BE9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废水</w:t>
                  </w:r>
                </w:p>
              </w:tc>
              <w:tc>
                <w:tcPr>
                  <w:tcW w:w="1466" w:type="dxa"/>
                  <w:tcBorders>
                    <w:top w:val="single" w:color="auto" w:sz="4" w:space="0"/>
                    <w:left w:val="single" w:color="auto" w:sz="4" w:space="0"/>
                    <w:bottom w:val="single" w:color="auto" w:sz="12" w:space="0"/>
                    <w:right w:val="single" w:color="auto" w:sz="4" w:space="0"/>
                  </w:tcBorders>
                  <w:noWrap w:val="0"/>
                  <w:vAlign w:val="center"/>
                </w:tcPr>
                <w:p w14:paraId="12419890">
                  <w:pPr>
                    <w:keepNext w:val="0"/>
                    <w:keepLines w:val="0"/>
                    <w:widowControl w:val="0"/>
                    <w:suppressLineNumbers w:val="0"/>
                    <w:autoSpaceDE w:val="0"/>
                    <w:autoSpaceDN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COD、BOD</w:t>
                  </w:r>
                  <w:r>
                    <w:rPr>
                      <w:rFonts w:hint="default" w:ascii="Times New Roman" w:hAnsi="Times New Roman" w:eastAsia="宋体" w:cs="Times New Roman"/>
                      <w:color w:val="auto"/>
                      <w:kern w:val="2"/>
                      <w:sz w:val="21"/>
                      <w:szCs w:val="21"/>
                      <w:highlight w:val="none"/>
                      <w:vertAlign w:val="subscript"/>
                      <w:lang w:val="en-US" w:eastAsia="zh-CN" w:bidi="ar"/>
                    </w:rPr>
                    <w:t>5</w:t>
                  </w:r>
                  <w:r>
                    <w:rPr>
                      <w:rFonts w:hint="default" w:ascii="Times New Roman" w:hAnsi="Times New Roman" w:eastAsia="宋体" w:cs="Times New Roman"/>
                      <w:color w:val="auto"/>
                      <w:kern w:val="2"/>
                      <w:sz w:val="21"/>
                      <w:szCs w:val="21"/>
                      <w:highlight w:val="none"/>
                      <w:lang w:val="en-US" w:eastAsia="zh-CN" w:bidi="ar"/>
                    </w:rPr>
                    <w:t>、SS、NH</w:t>
                  </w:r>
                  <w:r>
                    <w:rPr>
                      <w:rFonts w:hint="default" w:ascii="Times New Roman" w:hAnsi="Times New Roman" w:eastAsia="宋体" w:cs="Times New Roman"/>
                      <w:color w:val="auto"/>
                      <w:kern w:val="2"/>
                      <w:sz w:val="21"/>
                      <w:szCs w:val="21"/>
                      <w:highlight w:val="none"/>
                      <w:vertAlign w:val="sub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-N、</w:t>
                  </w:r>
                  <w:r>
                    <w:rPr>
                      <w:rFonts w:hint="eastAsia" w:cs="Times New Roman"/>
                      <w:color w:val="auto"/>
                      <w:kern w:val="2"/>
                      <w:sz w:val="21"/>
                      <w:szCs w:val="21"/>
                      <w:highlight w:val="none"/>
                      <w:lang w:val="en-US" w:eastAsia="zh-CN" w:bidi="ar"/>
                    </w:rPr>
                    <w:t>总磷、总氮</w:t>
                  </w:r>
                </w:p>
              </w:tc>
              <w:tc>
                <w:tcPr>
                  <w:tcW w:w="1266" w:type="dxa"/>
                  <w:tcBorders>
                    <w:top w:val="single" w:color="auto" w:sz="4" w:space="0"/>
                    <w:left w:val="single" w:color="auto" w:sz="4" w:space="0"/>
                    <w:bottom w:val="single" w:color="auto" w:sz="12" w:space="0"/>
                    <w:right w:val="single" w:color="auto" w:sz="4" w:space="0"/>
                  </w:tcBorders>
                  <w:noWrap w:val="0"/>
                  <w:tcMar>
                    <w:left w:w="57" w:type="dxa"/>
                    <w:right w:w="57" w:type="dxa"/>
                  </w:tcMar>
                  <w:vAlign w:val="center"/>
                </w:tcPr>
                <w:p w14:paraId="3DDDAE45">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废水</w:t>
                  </w:r>
                  <w:r>
                    <w:rPr>
                      <w:rFonts w:hint="eastAsia" w:cs="Times New Roman"/>
                      <w:color w:val="auto"/>
                      <w:kern w:val="2"/>
                      <w:sz w:val="21"/>
                      <w:szCs w:val="21"/>
                      <w:highlight w:val="none"/>
                      <w:lang w:val="en-US" w:eastAsia="zh-CN"/>
                    </w:rPr>
                    <w:t>总排</w:t>
                  </w:r>
                  <w:r>
                    <w:rPr>
                      <w:rFonts w:hint="eastAsia" w:ascii="Times New Roman" w:hAnsi="Times New Roman" w:eastAsia="宋体" w:cs="Times New Roman"/>
                      <w:color w:val="auto"/>
                      <w:kern w:val="2"/>
                      <w:sz w:val="21"/>
                      <w:szCs w:val="21"/>
                      <w:highlight w:val="none"/>
                      <w:lang w:val="en-US" w:eastAsia="zh-CN"/>
                    </w:rPr>
                    <w:t>口</w:t>
                  </w:r>
                </w:p>
              </w:tc>
              <w:tc>
                <w:tcPr>
                  <w:tcW w:w="1111" w:type="dxa"/>
                  <w:tcBorders>
                    <w:top w:val="single" w:color="auto" w:sz="4" w:space="0"/>
                    <w:left w:val="single" w:color="auto" w:sz="4" w:space="0"/>
                    <w:bottom w:val="single" w:color="auto" w:sz="12" w:space="0"/>
                    <w:right w:val="single" w:color="auto" w:sz="4" w:space="0"/>
                  </w:tcBorders>
                  <w:noWrap w:val="0"/>
                  <w:vAlign w:val="center"/>
                </w:tcPr>
                <w:p w14:paraId="49B88985">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1次/年</w:t>
                  </w:r>
                </w:p>
              </w:tc>
              <w:tc>
                <w:tcPr>
                  <w:tcW w:w="3658" w:type="dxa"/>
                  <w:tcBorders>
                    <w:top w:val="single" w:color="auto" w:sz="4" w:space="0"/>
                    <w:left w:val="single" w:color="auto" w:sz="4" w:space="0"/>
                    <w:bottom w:val="single" w:color="auto" w:sz="12" w:space="0"/>
                    <w:right w:val="single" w:color="auto" w:sz="12" w:space="0"/>
                  </w:tcBorders>
                  <w:noWrap w:val="0"/>
                  <w:vAlign w:val="center"/>
                </w:tcPr>
                <w:p w14:paraId="2A3903B3">
                  <w:pPr>
                    <w:keepNext w:val="0"/>
                    <w:keepLines w:val="0"/>
                    <w:widowControl w:val="0"/>
                    <w:suppressLineNumbers w:val="0"/>
                    <w:wordWrap w:val="0"/>
                    <w:autoSpaceDE w:val="0"/>
                    <w:autoSpaceDN/>
                    <w:spacing w:before="0" w:beforeAutospacing="0" w:after="0" w:afterAutospacing="0"/>
                    <w:ind w:left="0" w:right="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执行《污水综合排放标准》（GB 8978-1996）三级标准及《污水排入城镇下水道水质标准》（GB/T31962-2015）B标准</w:t>
                  </w:r>
                </w:p>
              </w:tc>
            </w:tr>
          </w:tbl>
          <w:p w14:paraId="513363B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声环境影响分析</w:t>
            </w:r>
          </w:p>
          <w:p w14:paraId="3AA85DE6">
            <w:pPr>
              <w:pStyle w:val="66"/>
              <w:keepNext w:val="0"/>
              <w:keepLines w:val="0"/>
              <w:suppressLineNumbers w:val="0"/>
              <w:tabs>
                <w:tab w:val="left" w:pos="7080"/>
              </w:tabs>
              <w:spacing w:before="0" w:beforeAutospacing="0" w:after="0" w:afterAutospacing="0"/>
              <w:ind w:left="0" w:right="0"/>
              <w:rPr>
                <w:rFonts w:hint="default" w:ascii="Times New Roman" w:hAnsi="Times New Roman" w:eastAsia="宋体" w:cs="Times New Roman"/>
                <w:b w:val="0"/>
                <w:bCs w:val="0"/>
                <w:color w:val="auto"/>
                <w:kern w:val="0"/>
                <w:szCs w:val="24"/>
                <w:highlight w:val="none"/>
              </w:rPr>
            </w:pP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lang w:val="en-US" w:eastAsia="zh-CN"/>
              </w:rPr>
              <w:t>1</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rPr>
              <w:t>主要噪声源</w:t>
            </w:r>
          </w:p>
          <w:p w14:paraId="073BE4C0">
            <w:pPr>
              <w:keepNext w:val="0"/>
              <w:keepLines w:val="0"/>
              <w:pageBreakBefore w:val="0"/>
              <w:widowControl w:val="0"/>
              <w:suppressLineNumbers w:val="0"/>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项目噪声源主要为</w:t>
            </w:r>
            <w:r>
              <w:rPr>
                <w:rFonts w:hint="default" w:ascii="Times New Roman" w:hAnsi="Times New Roman" w:eastAsia="宋体" w:cs="Times New Roman"/>
                <w:b w:val="0"/>
                <w:bCs w:val="0"/>
                <w:color w:val="auto"/>
                <w:sz w:val="24"/>
                <w:szCs w:val="24"/>
                <w:highlight w:val="none"/>
                <w:lang w:val="en-US" w:eastAsia="zh-CN"/>
              </w:rPr>
              <w:t>生产设备运行时</w:t>
            </w:r>
            <w:r>
              <w:rPr>
                <w:rFonts w:hint="default" w:ascii="Times New Roman" w:hAnsi="Times New Roman" w:eastAsia="宋体" w:cs="Times New Roman"/>
                <w:b w:val="0"/>
                <w:bCs w:val="0"/>
                <w:color w:val="auto"/>
                <w:sz w:val="24"/>
                <w:szCs w:val="24"/>
                <w:highlight w:val="none"/>
              </w:rPr>
              <w:t>产生的噪声。</w:t>
            </w:r>
            <w:r>
              <w:rPr>
                <w:rFonts w:hint="default" w:ascii="Times New Roman" w:hAnsi="Times New Roman" w:eastAsia="宋体" w:cs="Times New Roman"/>
                <w:b w:val="0"/>
                <w:bCs w:val="0"/>
                <w:color w:val="auto"/>
                <w:sz w:val="24"/>
                <w:szCs w:val="22"/>
                <w:highlight w:val="none"/>
                <w:lang w:val="en-US" w:eastAsia="zh-CN"/>
              </w:rPr>
              <w:t>本</w:t>
            </w:r>
            <w:r>
              <w:rPr>
                <w:rFonts w:hint="default" w:ascii="Times New Roman" w:hAnsi="Times New Roman" w:eastAsia="宋体" w:cs="Times New Roman"/>
                <w:b w:val="0"/>
                <w:bCs w:val="0"/>
                <w:color w:val="auto"/>
                <w:sz w:val="24"/>
                <w:szCs w:val="22"/>
                <w:highlight w:val="none"/>
              </w:rPr>
              <w:t>项目</w:t>
            </w:r>
            <w:r>
              <w:rPr>
                <w:rFonts w:hint="default" w:ascii="Times New Roman" w:hAnsi="Times New Roman" w:eastAsia="宋体" w:cs="Times New Roman"/>
                <w:b w:val="0"/>
                <w:bCs w:val="0"/>
                <w:color w:val="auto"/>
                <w:sz w:val="24"/>
                <w:szCs w:val="22"/>
                <w:highlight w:val="none"/>
                <w:lang w:val="en-US" w:eastAsia="zh-CN"/>
              </w:rPr>
              <w:t>选用低噪声设备、</w:t>
            </w:r>
            <w:r>
              <w:rPr>
                <w:rFonts w:hint="default" w:ascii="Times New Roman" w:hAnsi="Times New Roman" w:eastAsia="宋体" w:cs="Times New Roman"/>
                <w:b w:val="0"/>
                <w:bCs w:val="0"/>
                <w:color w:val="auto"/>
                <w:sz w:val="24"/>
                <w:szCs w:val="22"/>
                <w:highlight w:val="none"/>
              </w:rPr>
              <w:t>基础减振、厂房</w:t>
            </w:r>
            <w:r>
              <w:rPr>
                <w:rFonts w:hint="default" w:ascii="Times New Roman" w:hAnsi="Times New Roman" w:eastAsia="宋体" w:cs="Times New Roman"/>
                <w:b w:val="0"/>
                <w:bCs w:val="0"/>
                <w:color w:val="auto"/>
                <w:sz w:val="24"/>
                <w:szCs w:val="22"/>
                <w:highlight w:val="none"/>
                <w:lang w:val="en-US" w:eastAsia="zh-CN"/>
              </w:rPr>
              <w:t>隔声等措施</w:t>
            </w:r>
            <w:r>
              <w:rPr>
                <w:rFonts w:hint="default" w:ascii="Times New Roman" w:hAnsi="Times New Roman" w:eastAsia="宋体" w:cs="Times New Roman"/>
                <w:snapToGrid w:val="0"/>
                <w:color w:val="auto"/>
                <w:kern w:val="0"/>
                <w:sz w:val="24"/>
                <w:szCs w:val="24"/>
                <w:highlight w:val="none"/>
              </w:rPr>
              <w:t>。</w:t>
            </w:r>
            <w:r>
              <w:rPr>
                <w:rFonts w:hint="default" w:ascii="Times New Roman" w:hAnsi="Times New Roman" w:eastAsia="宋体" w:cs="Times New Roman"/>
                <w:b w:val="0"/>
                <w:bCs w:val="0"/>
                <w:color w:val="auto"/>
                <w:sz w:val="24"/>
                <w:szCs w:val="22"/>
                <w:highlight w:val="none"/>
                <w:lang w:val="en-US" w:eastAsia="zh-CN"/>
              </w:rPr>
              <w:t>项目主要噪声源及源强</w:t>
            </w:r>
            <w:r>
              <w:rPr>
                <w:rFonts w:hint="default" w:ascii="Times New Roman" w:hAnsi="Times New Roman" w:eastAsia="宋体" w:cs="Times New Roman"/>
                <w:b w:val="0"/>
                <w:bCs w:val="0"/>
                <w:color w:val="auto"/>
                <w:sz w:val="24"/>
                <w:szCs w:val="22"/>
                <w:highlight w:val="none"/>
              </w:rPr>
              <w:t>见表</w:t>
            </w:r>
            <w:r>
              <w:rPr>
                <w:rFonts w:hint="default" w:ascii="Times New Roman" w:hAnsi="Times New Roman" w:eastAsia="宋体" w:cs="Times New Roman"/>
                <w:b w:val="0"/>
                <w:bCs w:val="0"/>
                <w:color w:val="auto"/>
                <w:sz w:val="24"/>
                <w:szCs w:val="22"/>
                <w:highlight w:val="none"/>
                <w:lang w:val="en-US" w:eastAsia="zh-CN"/>
              </w:rPr>
              <w:t>4-</w:t>
            </w:r>
            <w:r>
              <w:rPr>
                <w:rFonts w:hint="eastAsia" w:cs="Times New Roman"/>
                <w:b w:val="0"/>
                <w:bCs w:val="0"/>
                <w:color w:val="auto"/>
                <w:sz w:val="24"/>
                <w:szCs w:val="22"/>
                <w:highlight w:val="none"/>
                <w:lang w:val="en-US" w:eastAsia="zh-CN"/>
              </w:rPr>
              <w:t>8</w:t>
            </w:r>
            <w:r>
              <w:rPr>
                <w:rFonts w:hint="default" w:ascii="Times New Roman" w:hAnsi="Times New Roman" w:eastAsia="宋体" w:cs="Times New Roman"/>
                <w:b w:val="0"/>
                <w:bCs w:val="0"/>
                <w:color w:val="auto"/>
                <w:sz w:val="24"/>
                <w:szCs w:val="22"/>
                <w:highlight w:val="none"/>
              </w:rPr>
              <w:t>。</w:t>
            </w:r>
          </w:p>
          <w:p w14:paraId="21F4B225">
            <w:pPr>
              <w:pStyle w:val="50"/>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ascii="Times New Roman" w:hAnsi="Times New Roman"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工业企业噪声源强调查清单（室</w:t>
            </w:r>
            <w:r>
              <w:rPr>
                <w:rFonts w:hint="default" w:ascii="Times New Roman" w:hAnsi="Times New Roman" w:eastAsia="宋体" w:cs="Times New Roman"/>
                <w:b/>
                <w:bCs/>
                <w:color w:val="auto"/>
                <w:sz w:val="21"/>
                <w:szCs w:val="21"/>
                <w:highlight w:val="none"/>
                <w:lang w:val="en-US" w:eastAsia="zh-CN"/>
              </w:rPr>
              <w:t>内</w:t>
            </w:r>
            <w:r>
              <w:rPr>
                <w:rFonts w:hint="default" w:ascii="Times New Roman" w:hAnsi="Times New Roman" w:eastAsia="宋体" w:cs="Times New Roman"/>
                <w:b/>
                <w:bCs/>
                <w:color w:val="auto"/>
                <w:sz w:val="21"/>
                <w:szCs w:val="21"/>
                <w:highlight w:val="none"/>
              </w:rPr>
              <w:t>声源）</w:t>
            </w:r>
          </w:p>
          <w:tbl>
            <w:tblPr>
              <w:tblStyle w:val="2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379"/>
              <w:gridCol w:w="379"/>
              <w:gridCol w:w="665"/>
              <w:gridCol w:w="558"/>
              <w:gridCol w:w="685"/>
              <w:gridCol w:w="555"/>
              <w:gridCol w:w="468"/>
              <w:gridCol w:w="468"/>
              <w:gridCol w:w="324"/>
              <w:gridCol w:w="400"/>
              <w:gridCol w:w="685"/>
              <w:gridCol w:w="604"/>
              <w:gridCol w:w="685"/>
              <w:gridCol w:w="685"/>
              <w:gridCol w:w="381"/>
            </w:tblGrid>
            <w:tr w14:paraId="302D85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vMerge w:val="restart"/>
                  <w:tcBorders>
                    <w:tl2br w:val="nil"/>
                    <w:tr2bl w:val="nil"/>
                  </w:tcBorders>
                  <w:shd w:val="clear" w:color="auto" w:fill="auto"/>
                  <w:vAlign w:val="center"/>
                </w:tcPr>
                <w:p w14:paraId="1C518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239" w:type="pct"/>
                  <w:vMerge w:val="restart"/>
                  <w:tcBorders>
                    <w:tl2br w:val="nil"/>
                    <w:tr2bl w:val="nil"/>
                  </w:tcBorders>
                  <w:shd w:val="clear" w:color="auto" w:fill="auto"/>
                  <w:vAlign w:val="center"/>
                </w:tcPr>
                <w:p w14:paraId="7136BD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建筑物名称</w:t>
                  </w:r>
                </w:p>
              </w:tc>
              <w:tc>
                <w:tcPr>
                  <w:tcW w:w="419" w:type="pct"/>
                  <w:vMerge w:val="restart"/>
                  <w:tcBorders>
                    <w:tl2br w:val="nil"/>
                    <w:tr2bl w:val="nil"/>
                  </w:tcBorders>
                  <w:shd w:val="clear" w:color="auto" w:fill="auto"/>
                  <w:vAlign w:val="center"/>
                </w:tcPr>
                <w:p w14:paraId="0DAAB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声源名称</w:t>
                  </w:r>
                </w:p>
              </w:tc>
              <w:tc>
                <w:tcPr>
                  <w:tcW w:w="352" w:type="pct"/>
                  <w:vMerge w:val="restart"/>
                  <w:tcBorders>
                    <w:tl2br w:val="nil"/>
                    <w:tr2bl w:val="nil"/>
                  </w:tcBorders>
                  <w:shd w:val="clear" w:color="auto" w:fill="auto"/>
                  <w:vAlign w:val="center"/>
                </w:tcPr>
                <w:p w14:paraId="58F81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数量/（台/套）</w:t>
                  </w:r>
                </w:p>
              </w:tc>
              <w:tc>
                <w:tcPr>
                  <w:tcW w:w="432" w:type="pct"/>
                  <w:vMerge w:val="restart"/>
                  <w:tcBorders>
                    <w:tl2br w:val="nil"/>
                    <w:tr2bl w:val="nil"/>
                  </w:tcBorders>
                  <w:shd w:val="clear" w:color="auto" w:fill="auto"/>
                  <w:vAlign w:val="center"/>
                </w:tcPr>
                <w:p w14:paraId="5A3D1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声压级/距声源距离dB（A）/m</w:t>
                  </w:r>
                </w:p>
              </w:tc>
              <w:tc>
                <w:tcPr>
                  <w:tcW w:w="350" w:type="pct"/>
                  <w:vMerge w:val="restart"/>
                  <w:tcBorders>
                    <w:tl2br w:val="nil"/>
                    <w:tr2bl w:val="nil"/>
                  </w:tcBorders>
                  <w:shd w:val="clear" w:color="auto" w:fill="auto"/>
                  <w:vAlign w:val="center"/>
                </w:tcPr>
                <w:p w14:paraId="0F1144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声源控制措施</w:t>
                  </w:r>
                </w:p>
              </w:tc>
              <w:tc>
                <w:tcPr>
                  <w:tcW w:w="794" w:type="pct"/>
                  <w:gridSpan w:val="3"/>
                  <w:tcBorders>
                    <w:tl2br w:val="nil"/>
                    <w:tr2bl w:val="nil"/>
                  </w:tcBorders>
                  <w:shd w:val="clear" w:color="auto" w:fill="auto"/>
                  <w:vAlign w:val="center"/>
                </w:tcPr>
                <w:p w14:paraId="3504D1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空间相对位置/m</w:t>
                  </w:r>
                </w:p>
              </w:tc>
              <w:tc>
                <w:tcPr>
                  <w:tcW w:w="252" w:type="pct"/>
                  <w:vMerge w:val="restart"/>
                  <w:tcBorders>
                    <w:tl2br w:val="nil"/>
                    <w:tr2bl w:val="nil"/>
                  </w:tcBorders>
                  <w:shd w:val="clear" w:color="auto" w:fill="auto"/>
                  <w:vAlign w:val="center"/>
                </w:tcPr>
                <w:p w14:paraId="191AAE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距室内边界距离/m</w:t>
                  </w:r>
                </w:p>
              </w:tc>
              <w:tc>
                <w:tcPr>
                  <w:tcW w:w="432" w:type="pct"/>
                  <w:vMerge w:val="restart"/>
                  <w:tcBorders>
                    <w:tl2br w:val="nil"/>
                    <w:tr2bl w:val="nil"/>
                  </w:tcBorders>
                  <w:shd w:val="clear" w:color="auto" w:fill="auto"/>
                  <w:vAlign w:val="center"/>
                </w:tcPr>
                <w:p w14:paraId="73C77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室内边界声级</w:t>
                  </w:r>
                  <w:r>
                    <w:rPr>
                      <w:rStyle w:val="102"/>
                      <w:rFonts w:hint="default" w:ascii="Times New Roman" w:hAnsi="Times New Roman" w:eastAsia="宋体" w:cs="Times New Roman"/>
                      <w:color w:val="auto"/>
                      <w:sz w:val="21"/>
                      <w:szCs w:val="21"/>
                      <w:highlight w:val="none"/>
                      <w:lang w:val="en-US" w:eastAsia="zh-CN" w:bidi="ar"/>
                    </w:rPr>
                    <w:t>dB</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Style w:val="102"/>
                      <w:rFonts w:hint="default" w:ascii="Times New Roman" w:hAnsi="Times New Roman" w:eastAsia="宋体" w:cs="Times New Roman"/>
                      <w:color w:val="auto"/>
                      <w:sz w:val="21"/>
                      <w:szCs w:val="21"/>
                      <w:highlight w:val="none"/>
                      <w:lang w:val="en-US" w:eastAsia="zh-CN" w:bidi="ar"/>
                    </w:rPr>
                    <w:t>A</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c>
                <w:tcPr>
                  <w:tcW w:w="381" w:type="pct"/>
                  <w:vMerge w:val="restart"/>
                  <w:tcBorders>
                    <w:tl2br w:val="nil"/>
                    <w:tr2bl w:val="nil"/>
                  </w:tcBorders>
                  <w:shd w:val="clear" w:color="auto" w:fill="auto"/>
                  <w:vAlign w:val="center"/>
                </w:tcPr>
                <w:p w14:paraId="7B1462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运行时段</w:t>
                  </w:r>
                </w:p>
              </w:tc>
              <w:tc>
                <w:tcPr>
                  <w:tcW w:w="432" w:type="pct"/>
                  <w:vMerge w:val="restart"/>
                  <w:tcBorders>
                    <w:tl2br w:val="nil"/>
                    <w:tr2bl w:val="nil"/>
                  </w:tcBorders>
                  <w:shd w:val="clear" w:color="auto" w:fill="auto"/>
                  <w:vAlign w:val="center"/>
                </w:tcPr>
                <w:p w14:paraId="1D499B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建筑物插入损失dB（A）</w:t>
                  </w:r>
                </w:p>
              </w:tc>
              <w:tc>
                <w:tcPr>
                  <w:tcW w:w="672" w:type="pct"/>
                  <w:gridSpan w:val="2"/>
                  <w:vMerge w:val="restart"/>
                  <w:tcBorders>
                    <w:tl2br w:val="nil"/>
                    <w:tr2bl w:val="nil"/>
                  </w:tcBorders>
                  <w:shd w:val="clear" w:color="auto" w:fill="auto"/>
                  <w:vAlign w:val="center"/>
                </w:tcPr>
                <w:p w14:paraId="5B54FB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建筑物外噪声</w:t>
                  </w:r>
                </w:p>
              </w:tc>
            </w:tr>
            <w:tr w14:paraId="217B5D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vMerge w:val="continue"/>
                  <w:tcBorders>
                    <w:tl2br w:val="nil"/>
                    <w:tr2bl w:val="nil"/>
                  </w:tcBorders>
                  <w:shd w:val="clear" w:color="auto" w:fill="auto"/>
                  <w:vAlign w:val="center"/>
                </w:tcPr>
                <w:p w14:paraId="3D3527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39" w:type="pct"/>
                  <w:vMerge w:val="continue"/>
                  <w:tcBorders>
                    <w:tl2br w:val="nil"/>
                    <w:tr2bl w:val="nil"/>
                  </w:tcBorders>
                  <w:shd w:val="clear" w:color="auto" w:fill="auto"/>
                  <w:vAlign w:val="center"/>
                </w:tcPr>
                <w:p w14:paraId="0B0C38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419" w:type="pct"/>
                  <w:vMerge w:val="continue"/>
                  <w:tcBorders>
                    <w:tl2br w:val="nil"/>
                    <w:tr2bl w:val="nil"/>
                  </w:tcBorders>
                  <w:shd w:val="clear" w:color="auto" w:fill="auto"/>
                  <w:vAlign w:val="center"/>
                </w:tcPr>
                <w:p w14:paraId="26AAB8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352" w:type="pct"/>
                  <w:vMerge w:val="continue"/>
                  <w:tcBorders>
                    <w:tl2br w:val="nil"/>
                    <w:tr2bl w:val="nil"/>
                  </w:tcBorders>
                  <w:shd w:val="clear" w:color="auto" w:fill="auto"/>
                  <w:vAlign w:val="center"/>
                </w:tcPr>
                <w:p w14:paraId="4FF53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432" w:type="pct"/>
                  <w:vMerge w:val="continue"/>
                  <w:tcBorders>
                    <w:tl2br w:val="nil"/>
                    <w:tr2bl w:val="nil"/>
                  </w:tcBorders>
                  <w:shd w:val="clear" w:color="auto" w:fill="auto"/>
                  <w:vAlign w:val="center"/>
                </w:tcPr>
                <w:p w14:paraId="44F03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350" w:type="pct"/>
                  <w:vMerge w:val="continue"/>
                  <w:tcBorders>
                    <w:tl2br w:val="nil"/>
                    <w:tr2bl w:val="nil"/>
                  </w:tcBorders>
                  <w:shd w:val="clear" w:color="auto" w:fill="auto"/>
                  <w:vAlign w:val="center"/>
                </w:tcPr>
                <w:p w14:paraId="4FB8F7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95" w:type="pct"/>
                  <w:vMerge w:val="restart"/>
                  <w:tcBorders>
                    <w:tl2br w:val="nil"/>
                    <w:tr2bl w:val="nil"/>
                  </w:tcBorders>
                  <w:shd w:val="clear" w:color="auto" w:fill="auto"/>
                  <w:vAlign w:val="center"/>
                </w:tcPr>
                <w:p w14:paraId="78F6E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w:t>
                  </w:r>
                </w:p>
              </w:tc>
              <w:tc>
                <w:tcPr>
                  <w:tcW w:w="295" w:type="pct"/>
                  <w:vMerge w:val="restart"/>
                  <w:tcBorders>
                    <w:tl2br w:val="nil"/>
                    <w:tr2bl w:val="nil"/>
                  </w:tcBorders>
                  <w:shd w:val="clear" w:color="auto" w:fill="auto"/>
                  <w:vAlign w:val="center"/>
                </w:tcPr>
                <w:p w14:paraId="4AAE74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w:t>
                  </w:r>
                </w:p>
              </w:tc>
              <w:tc>
                <w:tcPr>
                  <w:tcW w:w="203" w:type="pct"/>
                  <w:vMerge w:val="restart"/>
                  <w:tcBorders>
                    <w:tl2br w:val="nil"/>
                    <w:tr2bl w:val="nil"/>
                  </w:tcBorders>
                  <w:shd w:val="clear" w:color="auto" w:fill="auto"/>
                  <w:vAlign w:val="center"/>
                </w:tcPr>
                <w:p w14:paraId="447644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w:t>
                  </w:r>
                </w:p>
              </w:tc>
              <w:tc>
                <w:tcPr>
                  <w:tcW w:w="252" w:type="pct"/>
                  <w:vMerge w:val="continue"/>
                  <w:tcBorders>
                    <w:tl2br w:val="nil"/>
                    <w:tr2bl w:val="nil"/>
                  </w:tcBorders>
                  <w:shd w:val="clear" w:color="auto" w:fill="auto"/>
                  <w:vAlign w:val="center"/>
                </w:tcPr>
                <w:p w14:paraId="31545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432" w:type="pct"/>
                  <w:vMerge w:val="continue"/>
                  <w:tcBorders>
                    <w:tl2br w:val="nil"/>
                    <w:tr2bl w:val="nil"/>
                  </w:tcBorders>
                  <w:shd w:val="clear" w:color="auto" w:fill="auto"/>
                  <w:vAlign w:val="center"/>
                </w:tcPr>
                <w:p w14:paraId="7A7EF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381" w:type="pct"/>
                  <w:vMerge w:val="continue"/>
                  <w:tcBorders>
                    <w:tl2br w:val="nil"/>
                    <w:tr2bl w:val="nil"/>
                  </w:tcBorders>
                  <w:shd w:val="clear" w:color="auto" w:fill="auto"/>
                  <w:vAlign w:val="center"/>
                </w:tcPr>
                <w:p w14:paraId="66A4CC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432" w:type="pct"/>
                  <w:vMerge w:val="continue"/>
                  <w:tcBorders>
                    <w:tl2br w:val="nil"/>
                    <w:tr2bl w:val="nil"/>
                  </w:tcBorders>
                  <w:shd w:val="clear" w:color="auto" w:fill="auto"/>
                  <w:vAlign w:val="center"/>
                </w:tcPr>
                <w:p w14:paraId="5C0E6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672" w:type="pct"/>
                  <w:gridSpan w:val="2"/>
                  <w:vMerge w:val="continue"/>
                  <w:tcBorders>
                    <w:tl2br w:val="nil"/>
                    <w:tr2bl w:val="nil"/>
                  </w:tcBorders>
                  <w:shd w:val="clear" w:color="auto" w:fill="auto"/>
                  <w:vAlign w:val="center"/>
                </w:tcPr>
                <w:p w14:paraId="289B0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r>
            <w:tr w14:paraId="168FE2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vMerge w:val="continue"/>
                  <w:tcBorders>
                    <w:tl2br w:val="nil"/>
                    <w:tr2bl w:val="nil"/>
                  </w:tcBorders>
                  <w:shd w:val="clear" w:color="auto" w:fill="auto"/>
                  <w:vAlign w:val="center"/>
                </w:tcPr>
                <w:p w14:paraId="734EA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39" w:type="pct"/>
                  <w:vMerge w:val="continue"/>
                  <w:tcBorders>
                    <w:tl2br w:val="nil"/>
                    <w:tr2bl w:val="nil"/>
                  </w:tcBorders>
                  <w:shd w:val="clear" w:color="auto" w:fill="auto"/>
                  <w:vAlign w:val="center"/>
                </w:tcPr>
                <w:p w14:paraId="1D73A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419" w:type="pct"/>
                  <w:vMerge w:val="continue"/>
                  <w:tcBorders>
                    <w:tl2br w:val="nil"/>
                    <w:tr2bl w:val="nil"/>
                  </w:tcBorders>
                  <w:shd w:val="clear" w:color="auto" w:fill="auto"/>
                  <w:vAlign w:val="center"/>
                </w:tcPr>
                <w:p w14:paraId="3A5FB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352" w:type="pct"/>
                  <w:vMerge w:val="continue"/>
                  <w:tcBorders>
                    <w:tl2br w:val="nil"/>
                    <w:tr2bl w:val="nil"/>
                  </w:tcBorders>
                  <w:shd w:val="clear" w:color="auto" w:fill="auto"/>
                  <w:vAlign w:val="center"/>
                </w:tcPr>
                <w:p w14:paraId="08A29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432" w:type="pct"/>
                  <w:vMerge w:val="continue"/>
                  <w:tcBorders>
                    <w:tl2br w:val="nil"/>
                    <w:tr2bl w:val="nil"/>
                  </w:tcBorders>
                  <w:shd w:val="clear" w:color="auto" w:fill="auto"/>
                  <w:vAlign w:val="center"/>
                </w:tcPr>
                <w:p w14:paraId="64E982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350" w:type="pct"/>
                  <w:vMerge w:val="continue"/>
                  <w:tcBorders>
                    <w:tl2br w:val="nil"/>
                    <w:tr2bl w:val="nil"/>
                  </w:tcBorders>
                  <w:shd w:val="clear" w:color="auto" w:fill="auto"/>
                  <w:vAlign w:val="center"/>
                </w:tcPr>
                <w:p w14:paraId="6C04D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95" w:type="pct"/>
                  <w:vMerge w:val="continue"/>
                  <w:tcBorders>
                    <w:tl2br w:val="nil"/>
                    <w:tr2bl w:val="nil"/>
                  </w:tcBorders>
                  <w:shd w:val="clear" w:color="auto" w:fill="auto"/>
                  <w:vAlign w:val="center"/>
                </w:tcPr>
                <w:p w14:paraId="12915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95" w:type="pct"/>
                  <w:vMerge w:val="continue"/>
                  <w:tcBorders>
                    <w:tl2br w:val="nil"/>
                    <w:tr2bl w:val="nil"/>
                  </w:tcBorders>
                  <w:shd w:val="clear" w:color="auto" w:fill="auto"/>
                  <w:vAlign w:val="center"/>
                </w:tcPr>
                <w:p w14:paraId="71AF7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03" w:type="pct"/>
                  <w:vMerge w:val="continue"/>
                  <w:tcBorders>
                    <w:tl2br w:val="nil"/>
                    <w:tr2bl w:val="nil"/>
                  </w:tcBorders>
                  <w:shd w:val="clear" w:color="auto" w:fill="auto"/>
                  <w:vAlign w:val="center"/>
                </w:tcPr>
                <w:p w14:paraId="32C1E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52" w:type="pct"/>
                  <w:vMerge w:val="continue"/>
                  <w:tcBorders>
                    <w:tl2br w:val="nil"/>
                    <w:tr2bl w:val="nil"/>
                  </w:tcBorders>
                  <w:shd w:val="clear" w:color="auto" w:fill="auto"/>
                  <w:vAlign w:val="center"/>
                </w:tcPr>
                <w:p w14:paraId="0D04C7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432" w:type="pct"/>
                  <w:vMerge w:val="continue"/>
                  <w:tcBorders>
                    <w:tl2br w:val="nil"/>
                    <w:tr2bl w:val="nil"/>
                  </w:tcBorders>
                  <w:shd w:val="clear" w:color="auto" w:fill="auto"/>
                  <w:vAlign w:val="center"/>
                </w:tcPr>
                <w:p w14:paraId="13D83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381" w:type="pct"/>
                  <w:vMerge w:val="continue"/>
                  <w:tcBorders>
                    <w:tl2br w:val="nil"/>
                    <w:tr2bl w:val="nil"/>
                  </w:tcBorders>
                  <w:shd w:val="clear" w:color="auto" w:fill="auto"/>
                  <w:vAlign w:val="center"/>
                </w:tcPr>
                <w:p w14:paraId="68C76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432" w:type="pct"/>
                  <w:vMerge w:val="continue"/>
                  <w:tcBorders>
                    <w:tl2br w:val="nil"/>
                    <w:tr2bl w:val="nil"/>
                  </w:tcBorders>
                  <w:shd w:val="clear" w:color="auto" w:fill="auto"/>
                  <w:vAlign w:val="center"/>
                </w:tcPr>
                <w:p w14:paraId="4E5BD3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432" w:type="pct"/>
                  <w:tcBorders>
                    <w:tl2br w:val="nil"/>
                    <w:tr2bl w:val="nil"/>
                  </w:tcBorders>
                  <w:shd w:val="clear" w:color="auto" w:fill="auto"/>
                  <w:vAlign w:val="center"/>
                </w:tcPr>
                <w:p w14:paraId="29E29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声压级dB（A）</w:t>
                  </w:r>
                </w:p>
              </w:tc>
              <w:tc>
                <w:tcPr>
                  <w:tcW w:w="240" w:type="pct"/>
                  <w:tcBorders>
                    <w:tl2br w:val="nil"/>
                    <w:tr2bl w:val="nil"/>
                  </w:tcBorders>
                  <w:shd w:val="clear" w:color="auto" w:fill="auto"/>
                  <w:vAlign w:val="center"/>
                </w:tcPr>
                <w:p w14:paraId="0B2937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建筑物外距离</w:t>
                  </w:r>
                </w:p>
              </w:tc>
            </w:tr>
            <w:tr w14:paraId="605A9C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5C7A53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39" w:type="pct"/>
                  <w:vMerge w:val="restart"/>
                  <w:tcBorders>
                    <w:tl2br w:val="nil"/>
                    <w:tr2bl w:val="nil"/>
                  </w:tcBorders>
                  <w:shd w:val="clear" w:color="auto" w:fill="auto"/>
                  <w:vAlign w:val="center"/>
                </w:tcPr>
                <w:p w14:paraId="5C1D1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1号厂房</w:t>
                  </w:r>
                </w:p>
              </w:tc>
              <w:tc>
                <w:tcPr>
                  <w:tcW w:w="419" w:type="pct"/>
                  <w:tcBorders>
                    <w:tl2br w:val="nil"/>
                    <w:tr2bl w:val="nil"/>
                  </w:tcBorders>
                  <w:shd w:val="clear" w:color="auto" w:fill="auto"/>
                  <w:vAlign w:val="center"/>
                </w:tcPr>
                <w:p w14:paraId="74186E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sz w:val="21"/>
                      <w:szCs w:val="21"/>
                      <w:highlight w:val="none"/>
                      <w:lang w:val="en-US" w:eastAsia="zh-CN"/>
                    </w:rPr>
                    <w:t>海绵钛成型油压机</w:t>
                  </w:r>
                </w:p>
              </w:tc>
              <w:tc>
                <w:tcPr>
                  <w:tcW w:w="352" w:type="pct"/>
                  <w:tcBorders>
                    <w:tl2br w:val="nil"/>
                    <w:tr2bl w:val="nil"/>
                  </w:tcBorders>
                  <w:shd w:val="clear" w:color="auto" w:fill="auto"/>
                  <w:vAlign w:val="center"/>
                </w:tcPr>
                <w:p w14:paraId="6EDEB2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szCs w:val="21"/>
                      <w:highlight w:val="none"/>
                      <w:lang w:val="en-US" w:eastAsia="zh-CN"/>
                    </w:rPr>
                    <w:t>1</w:t>
                  </w:r>
                </w:p>
              </w:tc>
              <w:tc>
                <w:tcPr>
                  <w:tcW w:w="432" w:type="pct"/>
                  <w:tcBorders>
                    <w:tl2br w:val="nil"/>
                    <w:tr2bl w:val="nil"/>
                  </w:tcBorders>
                  <w:shd w:val="clear" w:color="auto" w:fill="auto"/>
                  <w:vAlign w:val="center"/>
                </w:tcPr>
                <w:p w14:paraId="1481F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85</w:t>
                  </w:r>
                </w:p>
              </w:tc>
              <w:tc>
                <w:tcPr>
                  <w:tcW w:w="350" w:type="pct"/>
                  <w:vMerge w:val="restart"/>
                  <w:tcBorders>
                    <w:tl2br w:val="nil"/>
                    <w:tr2bl w:val="nil"/>
                  </w:tcBorders>
                  <w:shd w:val="clear" w:color="auto" w:fill="auto"/>
                  <w:vAlign w:val="center"/>
                </w:tcPr>
                <w:p w14:paraId="22FB4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基础减振、厂房隔声、低噪声设备</w:t>
                  </w:r>
                </w:p>
              </w:tc>
              <w:tc>
                <w:tcPr>
                  <w:tcW w:w="295" w:type="pct"/>
                  <w:tcBorders>
                    <w:tl2br w:val="nil"/>
                    <w:tr2bl w:val="nil"/>
                  </w:tcBorders>
                  <w:shd w:val="clear" w:color="auto" w:fill="auto"/>
                  <w:vAlign w:val="center"/>
                </w:tcPr>
                <w:p w14:paraId="698B7E18">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color w:val="auto"/>
                      <w:kern w:val="0"/>
                      <w:sz w:val="21"/>
                      <w:szCs w:val="21"/>
                      <w:highlight w:val="none"/>
                      <w:lang w:val="en-US" w:eastAsia="zh-CN"/>
                    </w:rPr>
                    <w:t>100</w:t>
                  </w:r>
                </w:p>
              </w:tc>
              <w:tc>
                <w:tcPr>
                  <w:tcW w:w="295" w:type="pct"/>
                  <w:tcBorders>
                    <w:tl2br w:val="nil"/>
                    <w:tr2bl w:val="nil"/>
                  </w:tcBorders>
                  <w:shd w:val="clear" w:color="auto" w:fill="auto"/>
                  <w:noWrap/>
                  <w:vAlign w:val="center"/>
                </w:tcPr>
                <w:p w14:paraId="51EC91DB">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100</w:t>
                  </w:r>
                </w:p>
              </w:tc>
              <w:tc>
                <w:tcPr>
                  <w:tcW w:w="203" w:type="pct"/>
                  <w:tcBorders>
                    <w:tl2br w:val="nil"/>
                    <w:tr2bl w:val="nil"/>
                  </w:tcBorders>
                  <w:shd w:val="clear" w:color="auto" w:fill="auto"/>
                  <w:vAlign w:val="center"/>
                </w:tcPr>
                <w:p w14:paraId="006405D9">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252" w:type="pct"/>
                  <w:tcBorders>
                    <w:tl2br w:val="nil"/>
                    <w:tr2bl w:val="nil"/>
                  </w:tcBorders>
                  <w:shd w:val="clear" w:color="auto" w:fill="auto"/>
                  <w:vAlign w:val="center"/>
                </w:tcPr>
                <w:p w14:paraId="7429B26B">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40</w:t>
                  </w:r>
                </w:p>
              </w:tc>
              <w:tc>
                <w:tcPr>
                  <w:tcW w:w="432" w:type="pct"/>
                  <w:tcBorders>
                    <w:tl2br w:val="nil"/>
                    <w:tr2bl w:val="nil"/>
                  </w:tcBorders>
                  <w:shd w:val="clear" w:color="auto" w:fill="auto"/>
                  <w:vAlign w:val="center"/>
                </w:tcPr>
                <w:p w14:paraId="354D683A">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48.0 </w:t>
                  </w:r>
                </w:p>
              </w:tc>
              <w:tc>
                <w:tcPr>
                  <w:tcW w:w="381" w:type="pct"/>
                  <w:tcBorders>
                    <w:tl2br w:val="nil"/>
                    <w:tr2bl w:val="nil"/>
                  </w:tcBorders>
                  <w:shd w:val="clear" w:color="auto" w:fill="auto"/>
                  <w:vAlign w:val="center"/>
                </w:tcPr>
                <w:p w14:paraId="287E069E">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0F8CA46F">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75AF2C60">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38.0 </w:t>
                  </w:r>
                </w:p>
              </w:tc>
              <w:tc>
                <w:tcPr>
                  <w:tcW w:w="240" w:type="pct"/>
                  <w:tcBorders>
                    <w:tl2br w:val="nil"/>
                    <w:tr2bl w:val="nil"/>
                  </w:tcBorders>
                  <w:shd w:val="clear" w:color="auto" w:fill="auto"/>
                  <w:vAlign w:val="center"/>
                </w:tcPr>
                <w:p w14:paraId="2DEE407B">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50CC74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4BB45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39" w:type="pct"/>
                  <w:vMerge w:val="continue"/>
                  <w:tcBorders>
                    <w:tl2br w:val="nil"/>
                    <w:tr2bl w:val="nil"/>
                  </w:tcBorders>
                  <w:shd w:val="clear" w:color="auto" w:fill="auto"/>
                  <w:vAlign w:val="center"/>
                </w:tcPr>
                <w:p w14:paraId="34B29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012AFAB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sz w:val="21"/>
                      <w:szCs w:val="21"/>
                      <w:highlight w:val="none"/>
                      <w:lang w:val="en-US" w:eastAsia="zh-CN"/>
                    </w:rPr>
                    <w:t>真空等离子焊箱</w:t>
                  </w:r>
                </w:p>
              </w:tc>
              <w:tc>
                <w:tcPr>
                  <w:tcW w:w="352" w:type="pct"/>
                  <w:tcBorders>
                    <w:tl2br w:val="nil"/>
                    <w:tr2bl w:val="nil"/>
                  </w:tcBorders>
                  <w:shd w:val="clear" w:color="auto" w:fill="auto"/>
                  <w:vAlign w:val="center"/>
                </w:tcPr>
                <w:p w14:paraId="53EA9AF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432" w:type="pct"/>
                  <w:tcBorders>
                    <w:tl2br w:val="nil"/>
                    <w:tr2bl w:val="nil"/>
                  </w:tcBorders>
                  <w:shd w:val="clear" w:color="auto" w:fill="auto"/>
                  <w:vAlign w:val="center"/>
                </w:tcPr>
                <w:p w14:paraId="28963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85</w:t>
                  </w:r>
                </w:p>
              </w:tc>
              <w:tc>
                <w:tcPr>
                  <w:tcW w:w="350" w:type="pct"/>
                  <w:vMerge w:val="continue"/>
                  <w:tcBorders>
                    <w:tl2br w:val="nil"/>
                    <w:tr2bl w:val="nil"/>
                  </w:tcBorders>
                  <w:shd w:val="clear" w:color="auto" w:fill="auto"/>
                  <w:vAlign w:val="center"/>
                </w:tcPr>
                <w:p w14:paraId="5D028A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75730ED9">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110</w:t>
                  </w:r>
                </w:p>
              </w:tc>
              <w:tc>
                <w:tcPr>
                  <w:tcW w:w="295" w:type="pct"/>
                  <w:tcBorders>
                    <w:tl2br w:val="nil"/>
                    <w:tr2bl w:val="nil"/>
                  </w:tcBorders>
                  <w:shd w:val="clear" w:color="auto" w:fill="auto"/>
                  <w:noWrap/>
                  <w:vAlign w:val="center"/>
                </w:tcPr>
                <w:p w14:paraId="2DA8E0F9">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80</w:t>
                  </w:r>
                </w:p>
              </w:tc>
              <w:tc>
                <w:tcPr>
                  <w:tcW w:w="203" w:type="pct"/>
                  <w:tcBorders>
                    <w:tl2br w:val="nil"/>
                    <w:tr2bl w:val="nil"/>
                  </w:tcBorders>
                  <w:shd w:val="clear" w:color="auto" w:fill="auto"/>
                  <w:vAlign w:val="center"/>
                </w:tcPr>
                <w:p w14:paraId="4D3F29EC">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252" w:type="pct"/>
                  <w:tcBorders>
                    <w:tl2br w:val="nil"/>
                    <w:tr2bl w:val="nil"/>
                  </w:tcBorders>
                  <w:shd w:val="clear" w:color="auto" w:fill="auto"/>
                  <w:vAlign w:val="center"/>
                </w:tcPr>
                <w:p w14:paraId="5A01963A">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60</w:t>
                  </w:r>
                </w:p>
              </w:tc>
              <w:tc>
                <w:tcPr>
                  <w:tcW w:w="432" w:type="pct"/>
                  <w:tcBorders>
                    <w:tl2br w:val="nil"/>
                    <w:tr2bl w:val="nil"/>
                  </w:tcBorders>
                  <w:shd w:val="clear" w:color="auto" w:fill="auto"/>
                  <w:vAlign w:val="center"/>
                </w:tcPr>
                <w:p w14:paraId="78247113">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49.4 </w:t>
                  </w:r>
                </w:p>
              </w:tc>
              <w:tc>
                <w:tcPr>
                  <w:tcW w:w="381" w:type="pct"/>
                  <w:tcBorders>
                    <w:tl2br w:val="nil"/>
                    <w:tr2bl w:val="nil"/>
                  </w:tcBorders>
                  <w:shd w:val="clear" w:color="auto" w:fill="auto"/>
                  <w:vAlign w:val="center"/>
                </w:tcPr>
                <w:p w14:paraId="0825677F">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3C00DAD6">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48F70AC6">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39.4 </w:t>
                  </w:r>
                </w:p>
              </w:tc>
              <w:tc>
                <w:tcPr>
                  <w:tcW w:w="240" w:type="pct"/>
                  <w:tcBorders>
                    <w:tl2br w:val="nil"/>
                    <w:tr2bl w:val="nil"/>
                  </w:tcBorders>
                  <w:shd w:val="clear" w:color="auto" w:fill="auto"/>
                  <w:vAlign w:val="center"/>
                </w:tcPr>
                <w:p w14:paraId="65D50D4D">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3E7926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4BF3D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39" w:type="pct"/>
                  <w:vMerge w:val="continue"/>
                  <w:tcBorders>
                    <w:tl2br w:val="nil"/>
                    <w:tr2bl w:val="nil"/>
                  </w:tcBorders>
                  <w:shd w:val="clear" w:color="auto" w:fill="auto"/>
                  <w:vAlign w:val="center"/>
                </w:tcPr>
                <w:p w14:paraId="4CF0B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750240E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sz w:val="21"/>
                      <w:szCs w:val="21"/>
                      <w:highlight w:val="none"/>
                      <w:lang w:val="en-US" w:eastAsia="zh-CN"/>
                    </w:rPr>
                    <w:t>真空自耗电弧炉</w:t>
                  </w:r>
                </w:p>
              </w:tc>
              <w:tc>
                <w:tcPr>
                  <w:tcW w:w="352" w:type="pct"/>
                  <w:tcBorders>
                    <w:tl2br w:val="nil"/>
                    <w:tr2bl w:val="nil"/>
                  </w:tcBorders>
                  <w:shd w:val="clear" w:color="auto" w:fill="auto"/>
                  <w:vAlign w:val="center"/>
                </w:tcPr>
                <w:p w14:paraId="23E3F1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w:t>
                  </w:r>
                </w:p>
              </w:tc>
              <w:tc>
                <w:tcPr>
                  <w:tcW w:w="432" w:type="pct"/>
                  <w:tcBorders>
                    <w:tl2br w:val="nil"/>
                    <w:tr2bl w:val="nil"/>
                  </w:tcBorders>
                  <w:shd w:val="clear" w:color="auto" w:fill="auto"/>
                  <w:vAlign w:val="center"/>
                </w:tcPr>
                <w:p w14:paraId="02BC6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85</w:t>
                  </w:r>
                </w:p>
              </w:tc>
              <w:tc>
                <w:tcPr>
                  <w:tcW w:w="350" w:type="pct"/>
                  <w:vMerge w:val="continue"/>
                  <w:tcBorders>
                    <w:tl2br w:val="nil"/>
                    <w:tr2bl w:val="nil"/>
                  </w:tcBorders>
                  <w:shd w:val="clear" w:color="auto" w:fill="auto"/>
                  <w:vAlign w:val="center"/>
                </w:tcPr>
                <w:p w14:paraId="19C07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637D3E62">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110</w:t>
                  </w:r>
                </w:p>
              </w:tc>
              <w:tc>
                <w:tcPr>
                  <w:tcW w:w="295" w:type="pct"/>
                  <w:tcBorders>
                    <w:tl2br w:val="nil"/>
                    <w:tr2bl w:val="nil"/>
                  </w:tcBorders>
                  <w:shd w:val="clear" w:color="auto" w:fill="auto"/>
                  <w:noWrap/>
                  <w:vAlign w:val="center"/>
                </w:tcPr>
                <w:p w14:paraId="31C908FB">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100</w:t>
                  </w:r>
                </w:p>
              </w:tc>
              <w:tc>
                <w:tcPr>
                  <w:tcW w:w="203" w:type="pct"/>
                  <w:tcBorders>
                    <w:tl2br w:val="nil"/>
                    <w:tr2bl w:val="nil"/>
                  </w:tcBorders>
                  <w:shd w:val="clear" w:color="auto" w:fill="auto"/>
                  <w:vAlign w:val="center"/>
                </w:tcPr>
                <w:p w14:paraId="4AA41A05">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252" w:type="pct"/>
                  <w:tcBorders>
                    <w:tl2br w:val="nil"/>
                    <w:tr2bl w:val="nil"/>
                  </w:tcBorders>
                  <w:shd w:val="clear" w:color="auto" w:fill="auto"/>
                  <w:vAlign w:val="center"/>
                </w:tcPr>
                <w:p w14:paraId="2279206A">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40</w:t>
                  </w:r>
                </w:p>
              </w:tc>
              <w:tc>
                <w:tcPr>
                  <w:tcW w:w="432" w:type="pct"/>
                  <w:tcBorders>
                    <w:tl2br w:val="nil"/>
                    <w:tr2bl w:val="nil"/>
                  </w:tcBorders>
                  <w:shd w:val="clear" w:color="auto" w:fill="auto"/>
                  <w:vAlign w:val="center"/>
                </w:tcPr>
                <w:p w14:paraId="6BE0B648">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53.0 </w:t>
                  </w:r>
                </w:p>
              </w:tc>
              <w:tc>
                <w:tcPr>
                  <w:tcW w:w="381" w:type="pct"/>
                  <w:tcBorders>
                    <w:tl2br w:val="nil"/>
                    <w:tr2bl w:val="nil"/>
                  </w:tcBorders>
                  <w:shd w:val="clear" w:color="auto" w:fill="auto"/>
                  <w:vAlign w:val="center"/>
                </w:tcPr>
                <w:p w14:paraId="0684FF9E">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22F29005">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17953F0E">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43.0 </w:t>
                  </w:r>
                </w:p>
              </w:tc>
              <w:tc>
                <w:tcPr>
                  <w:tcW w:w="240" w:type="pct"/>
                  <w:tcBorders>
                    <w:tl2br w:val="nil"/>
                    <w:tr2bl w:val="nil"/>
                  </w:tcBorders>
                  <w:shd w:val="clear" w:color="auto" w:fill="auto"/>
                  <w:vAlign w:val="center"/>
                </w:tcPr>
                <w:p w14:paraId="0509BCB5">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17D6FE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3B78F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w:t>
                  </w:r>
                </w:p>
              </w:tc>
              <w:tc>
                <w:tcPr>
                  <w:tcW w:w="239" w:type="pct"/>
                  <w:vMerge w:val="continue"/>
                  <w:tcBorders>
                    <w:tl2br w:val="nil"/>
                    <w:tr2bl w:val="nil"/>
                  </w:tcBorders>
                  <w:shd w:val="clear" w:color="auto" w:fill="auto"/>
                  <w:vAlign w:val="center"/>
                </w:tcPr>
                <w:p w14:paraId="4D418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76A816F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sz w:val="21"/>
                      <w:szCs w:val="21"/>
                      <w:highlight w:val="none"/>
                      <w:lang w:val="en-US" w:eastAsia="zh-CN"/>
                    </w:rPr>
                    <w:t>8000T海绵钛成型油压机</w:t>
                  </w:r>
                </w:p>
              </w:tc>
              <w:tc>
                <w:tcPr>
                  <w:tcW w:w="352" w:type="pct"/>
                  <w:tcBorders>
                    <w:tl2br w:val="nil"/>
                    <w:tr2bl w:val="nil"/>
                  </w:tcBorders>
                  <w:shd w:val="clear" w:color="auto" w:fill="auto"/>
                  <w:vAlign w:val="center"/>
                </w:tcPr>
                <w:p w14:paraId="647198E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w:t>
                  </w:r>
                </w:p>
              </w:tc>
              <w:tc>
                <w:tcPr>
                  <w:tcW w:w="432" w:type="pct"/>
                  <w:tcBorders>
                    <w:tl2br w:val="nil"/>
                    <w:tr2bl w:val="nil"/>
                  </w:tcBorders>
                  <w:shd w:val="clear" w:color="auto" w:fill="auto"/>
                  <w:vAlign w:val="center"/>
                </w:tcPr>
                <w:p w14:paraId="3C77C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80</w:t>
                  </w:r>
                </w:p>
              </w:tc>
              <w:tc>
                <w:tcPr>
                  <w:tcW w:w="350" w:type="pct"/>
                  <w:vMerge w:val="continue"/>
                  <w:tcBorders>
                    <w:tl2br w:val="nil"/>
                    <w:tr2bl w:val="nil"/>
                  </w:tcBorders>
                  <w:shd w:val="clear" w:color="auto" w:fill="auto"/>
                  <w:vAlign w:val="center"/>
                </w:tcPr>
                <w:p w14:paraId="11C93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682F6EAF">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110</w:t>
                  </w:r>
                </w:p>
              </w:tc>
              <w:tc>
                <w:tcPr>
                  <w:tcW w:w="295" w:type="pct"/>
                  <w:tcBorders>
                    <w:tl2br w:val="nil"/>
                    <w:tr2bl w:val="nil"/>
                  </w:tcBorders>
                  <w:shd w:val="clear" w:color="auto" w:fill="auto"/>
                  <w:noWrap/>
                  <w:vAlign w:val="center"/>
                </w:tcPr>
                <w:p w14:paraId="62C7B563">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60</w:t>
                  </w:r>
                </w:p>
              </w:tc>
              <w:tc>
                <w:tcPr>
                  <w:tcW w:w="203" w:type="pct"/>
                  <w:tcBorders>
                    <w:tl2br w:val="nil"/>
                    <w:tr2bl w:val="nil"/>
                  </w:tcBorders>
                  <w:shd w:val="clear" w:color="auto" w:fill="auto"/>
                  <w:vAlign w:val="center"/>
                </w:tcPr>
                <w:p w14:paraId="4A6B892D">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252" w:type="pct"/>
                  <w:tcBorders>
                    <w:tl2br w:val="nil"/>
                    <w:tr2bl w:val="nil"/>
                  </w:tcBorders>
                  <w:shd w:val="clear" w:color="auto" w:fill="auto"/>
                  <w:vAlign w:val="center"/>
                </w:tcPr>
                <w:p w14:paraId="2E0D167E">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60</w:t>
                  </w:r>
                </w:p>
              </w:tc>
              <w:tc>
                <w:tcPr>
                  <w:tcW w:w="432" w:type="pct"/>
                  <w:tcBorders>
                    <w:tl2br w:val="nil"/>
                    <w:tr2bl w:val="nil"/>
                  </w:tcBorders>
                  <w:shd w:val="clear" w:color="auto" w:fill="auto"/>
                  <w:vAlign w:val="center"/>
                </w:tcPr>
                <w:p w14:paraId="2E82D5BA">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44.4 </w:t>
                  </w:r>
                </w:p>
              </w:tc>
              <w:tc>
                <w:tcPr>
                  <w:tcW w:w="381" w:type="pct"/>
                  <w:tcBorders>
                    <w:tl2br w:val="nil"/>
                    <w:tr2bl w:val="nil"/>
                  </w:tcBorders>
                  <w:shd w:val="clear" w:color="auto" w:fill="auto"/>
                  <w:vAlign w:val="center"/>
                </w:tcPr>
                <w:p w14:paraId="7E6D0D41">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3C126570">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7AB24686">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34.4 </w:t>
                  </w:r>
                </w:p>
              </w:tc>
              <w:tc>
                <w:tcPr>
                  <w:tcW w:w="240" w:type="pct"/>
                  <w:tcBorders>
                    <w:tl2br w:val="nil"/>
                    <w:tr2bl w:val="nil"/>
                  </w:tcBorders>
                  <w:shd w:val="clear" w:color="auto" w:fill="auto"/>
                  <w:vAlign w:val="center"/>
                </w:tcPr>
                <w:p w14:paraId="26EB99A8">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5E5FFA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69" w:hRule="atLeast"/>
                <w:jc w:val="center"/>
              </w:trPr>
              <w:tc>
                <w:tcPr>
                  <w:tcW w:w="239" w:type="pct"/>
                  <w:tcBorders>
                    <w:tl2br w:val="nil"/>
                    <w:tr2bl w:val="nil"/>
                  </w:tcBorders>
                  <w:shd w:val="clear" w:color="auto" w:fill="auto"/>
                  <w:vAlign w:val="center"/>
                </w:tcPr>
                <w:p w14:paraId="319AB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w:t>
                  </w:r>
                </w:p>
              </w:tc>
              <w:tc>
                <w:tcPr>
                  <w:tcW w:w="239" w:type="pct"/>
                  <w:vMerge w:val="continue"/>
                  <w:tcBorders>
                    <w:tl2br w:val="nil"/>
                    <w:tr2bl w:val="nil"/>
                  </w:tcBorders>
                  <w:shd w:val="clear" w:color="auto" w:fill="auto"/>
                  <w:vAlign w:val="center"/>
                </w:tcPr>
                <w:p w14:paraId="20A8D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7E79D82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sz w:val="21"/>
                      <w:szCs w:val="21"/>
                      <w:highlight w:val="none"/>
                      <w:lang w:val="en-US" w:eastAsia="zh-CN"/>
                    </w:rPr>
                    <w:t>混布料机</w:t>
                  </w:r>
                </w:p>
              </w:tc>
              <w:tc>
                <w:tcPr>
                  <w:tcW w:w="352" w:type="pct"/>
                  <w:tcBorders>
                    <w:tl2br w:val="nil"/>
                    <w:tr2bl w:val="nil"/>
                  </w:tcBorders>
                  <w:shd w:val="clear" w:color="auto" w:fill="auto"/>
                  <w:vAlign w:val="center"/>
                </w:tcPr>
                <w:p w14:paraId="6E7699E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w:t>
                  </w:r>
                </w:p>
              </w:tc>
              <w:tc>
                <w:tcPr>
                  <w:tcW w:w="432" w:type="pct"/>
                  <w:tcBorders>
                    <w:tl2br w:val="nil"/>
                    <w:tr2bl w:val="nil"/>
                  </w:tcBorders>
                  <w:shd w:val="clear" w:color="auto" w:fill="auto"/>
                  <w:vAlign w:val="center"/>
                </w:tcPr>
                <w:p w14:paraId="26956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75</w:t>
                  </w:r>
                </w:p>
              </w:tc>
              <w:tc>
                <w:tcPr>
                  <w:tcW w:w="350" w:type="pct"/>
                  <w:vMerge w:val="continue"/>
                  <w:tcBorders>
                    <w:tl2br w:val="nil"/>
                    <w:tr2bl w:val="nil"/>
                  </w:tcBorders>
                  <w:shd w:val="clear" w:color="auto" w:fill="auto"/>
                  <w:vAlign w:val="center"/>
                </w:tcPr>
                <w:p w14:paraId="7640F9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15FDDCB1">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90</w:t>
                  </w:r>
                </w:p>
              </w:tc>
              <w:tc>
                <w:tcPr>
                  <w:tcW w:w="295" w:type="pct"/>
                  <w:tcBorders>
                    <w:tl2br w:val="nil"/>
                    <w:tr2bl w:val="nil"/>
                  </w:tcBorders>
                  <w:shd w:val="clear" w:color="auto" w:fill="auto"/>
                  <w:noWrap/>
                  <w:vAlign w:val="center"/>
                </w:tcPr>
                <w:p w14:paraId="42864FA7">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110</w:t>
                  </w:r>
                </w:p>
              </w:tc>
              <w:tc>
                <w:tcPr>
                  <w:tcW w:w="203" w:type="pct"/>
                  <w:tcBorders>
                    <w:tl2br w:val="nil"/>
                    <w:tr2bl w:val="nil"/>
                  </w:tcBorders>
                  <w:shd w:val="clear" w:color="auto" w:fill="auto"/>
                  <w:vAlign w:val="center"/>
                </w:tcPr>
                <w:p w14:paraId="6C66AFA5">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252" w:type="pct"/>
                  <w:tcBorders>
                    <w:tl2br w:val="nil"/>
                    <w:tr2bl w:val="nil"/>
                  </w:tcBorders>
                  <w:shd w:val="clear" w:color="auto" w:fill="auto"/>
                  <w:vAlign w:val="center"/>
                </w:tcPr>
                <w:p w14:paraId="1DC8AC2E">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30</w:t>
                  </w:r>
                </w:p>
              </w:tc>
              <w:tc>
                <w:tcPr>
                  <w:tcW w:w="432" w:type="pct"/>
                  <w:tcBorders>
                    <w:tl2br w:val="nil"/>
                    <w:tr2bl w:val="nil"/>
                  </w:tcBorders>
                  <w:shd w:val="clear" w:color="auto" w:fill="auto"/>
                  <w:vAlign w:val="center"/>
                </w:tcPr>
                <w:p w14:paraId="33A48D73">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45.5 </w:t>
                  </w:r>
                </w:p>
              </w:tc>
              <w:tc>
                <w:tcPr>
                  <w:tcW w:w="381" w:type="pct"/>
                  <w:tcBorders>
                    <w:tl2br w:val="nil"/>
                    <w:tr2bl w:val="nil"/>
                  </w:tcBorders>
                  <w:shd w:val="clear" w:color="auto" w:fill="auto"/>
                  <w:vAlign w:val="center"/>
                </w:tcPr>
                <w:p w14:paraId="170FB1E1">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128C164F">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79AFF0AE">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35.5 </w:t>
                  </w:r>
                </w:p>
              </w:tc>
              <w:tc>
                <w:tcPr>
                  <w:tcW w:w="240" w:type="pct"/>
                  <w:tcBorders>
                    <w:tl2br w:val="nil"/>
                    <w:tr2bl w:val="nil"/>
                  </w:tcBorders>
                  <w:shd w:val="clear" w:color="auto" w:fill="auto"/>
                  <w:vAlign w:val="center"/>
                </w:tcPr>
                <w:p w14:paraId="291E848A">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6F9A9F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1F009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w:t>
                  </w:r>
                </w:p>
              </w:tc>
              <w:tc>
                <w:tcPr>
                  <w:tcW w:w="239" w:type="pct"/>
                  <w:vMerge w:val="continue"/>
                  <w:tcBorders>
                    <w:tl2br w:val="nil"/>
                    <w:tr2bl w:val="nil"/>
                  </w:tcBorders>
                  <w:shd w:val="clear" w:color="auto" w:fill="auto"/>
                  <w:vAlign w:val="center"/>
                </w:tcPr>
                <w:p w14:paraId="4DBDFA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45458C9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sz w:val="21"/>
                      <w:szCs w:val="21"/>
                      <w:highlight w:val="none"/>
                      <w:lang w:val="en-US" w:eastAsia="zh-CN"/>
                    </w:rPr>
                    <w:t>5T真空自耗电弧炉</w:t>
                  </w:r>
                </w:p>
              </w:tc>
              <w:tc>
                <w:tcPr>
                  <w:tcW w:w="352" w:type="pct"/>
                  <w:tcBorders>
                    <w:tl2br w:val="nil"/>
                    <w:tr2bl w:val="nil"/>
                  </w:tcBorders>
                  <w:shd w:val="clear" w:color="auto" w:fill="auto"/>
                  <w:vAlign w:val="center"/>
                </w:tcPr>
                <w:p w14:paraId="38297FF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432" w:type="pct"/>
                  <w:tcBorders>
                    <w:tl2br w:val="nil"/>
                    <w:tr2bl w:val="nil"/>
                  </w:tcBorders>
                  <w:shd w:val="clear" w:color="auto" w:fill="auto"/>
                  <w:vAlign w:val="center"/>
                </w:tcPr>
                <w:p w14:paraId="740CF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85</w:t>
                  </w:r>
                </w:p>
              </w:tc>
              <w:tc>
                <w:tcPr>
                  <w:tcW w:w="350" w:type="pct"/>
                  <w:vMerge w:val="continue"/>
                  <w:tcBorders>
                    <w:tl2br w:val="nil"/>
                    <w:tr2bl w:val="nil"/>
                  </w:tcBorders>
                  <w:shd w:val="clear" w:color="auto" w:fill="auto"/>
                  <w:vAlign w:val="center"/>
                </w:tcPr>
                <w:p w14:paraId="0B0EB9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1174F68B">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120</w:t>
                  </w:r>
                </w:p>
              </w:tc>
              <w:tc>
                <w:tcPr>
                  <w:tcW w:w="295" w:type="pct"/>
                  <w:tcBorders>
                    <w:tl2br w:val="nil"/>
                    <w:tr2bl w:val="nil"/>
                  </w:tcBorders>
                  <w:shd w:val="clear" w:color="auto" w:fill="auto"/>
                  <w:noWrap/>
                  <w:vAlign w:val="center"/>
                </w:tcPr>
                <w:p w14:paraId="7F3CE579">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115</w:t>
                  </w:r>
                </w:p>
              </w:tc>
              <w:tc>
                <w:tcPr>
                  <w:tcW w:w="203" w:type="pct"/>
                  <w:tcBorders>
                    <w:tl2br w:val="nil"/>
                    <w:tr2bl w:val="nil"/>
                  </w:tcBorders>
                  <w:shd w:val="clear" w:color="auto" w:fill="auto"/>
                  <w:vAlign w:val="center"/>
                </w:tcPr>
                <w:p w14:paraId="622F82FA">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252" w:type="pct"/>
                  <w:tcBorders>
                    <w:tl2br w:val="nil"/>
                    <w:tr2bl w:val="nil"/>
                  </w:tcBorders>
                  <w:shd w:val="clear" w:color="auto" w:fill="auto"/>
                  <w:vAlign w:val="center"/>
                </w:tcPr>
                <w:p w14:paraId="193EAEDF">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25</w:t>
                  </w:r>
                </w:p>
              </w:tc>
              <w:tc>
                <w:tcPr>
                  <w:tcW w:w="432" w:type="pct"/>
                  <w:tcBorders>
                    <w:tl2br w:val="nil"/>
                    <w:tr2bl w:val="nil"/>
                  </w:tcBorders>
                  <w:shd w:val="clear" w:color="auto" w:fill="auto"/>
                  <w:vAlign w:val="center"/>
                </w:tcPr>
                <w:p w14:paraId="2FC7B389">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57.0 </w:t>
                  </w:r>
                </w:p>
              </w:tc>
              <w:tc>
                <w:tcPr>
                  <w:tcW w:w="381" w:type="pct"/>
                  <w:tcBorders>
                    <w:tl2br w:val="nil"/>
                    <w:tr2bl w:val="nil"/>
                  </w:tcBorders>
                  <w:shd w:val="clear" w:color="auto" w:fill="auto"/>
                  <w:vAlign w:val="center"/>
                </w:tcPr>
                <w:p w14:paraId="220AEF24">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33766026">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4037B384">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47.0 </w:t>
                  </w:r>
                </w:p>
              </w:tc>
              <w:tc>
                <w:tcPr>
                  <w:tcW w:w="240" w:type="pct"/>
                  <w:tcBorders>
                    <w:tl2br w:val="nil"/>
                    <w:tr2bl w:val="nil"/>
                  </w:tcBorders>
                  <w:shd w:val="clear" w:color="auto" w:fill="auto"/>
                  <w:vAlign w:val="center"/>
                </w:tcPr>
                <w:p w14:paraId="597D9117">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5B40DD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53035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w:t>
                  </w:r>
                </w:p>
              </w:tc>
              <w:tc>
                <w:tcPr>
                  <w:tcW w:w="239" w:type="pct"/>
                  <w:vMerge w:val="continue"/>
                  <w:tcBorders>
                    <w:tl2br w:val="nil"/>
                    <w:tr2bl w:val="nil"/>
                  </w:tcBorders>
                  <w:shd w:val="clear" w:color="auto" w:fill="auto"/>
                  <w:vAlign w:val="center"/>
                </w:tcPr>
                <w:p w14:paraId="73793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60B11A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12T真空自耗电弧炉</w:t>
                  </w:r>
                </w:p>
              </w:tc>
              <w:tc>
                <w:tcPr>
                  <w:tcW w:w="352" w:type="pct"/>
                  <w:tcBorders>
                    <w:tl2br w:val="nil"/>
                    <w:tr2bl w:val="nil"/>
                  </w:tcBorders>
                  <w:shd w:val="clear" w:color="auto" w:fill="auto"/>
                  <w:vAlign w:val="center"/>
                </w:tcPr>
                <w:p w14:paraId="7A8B3E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432" w:type="pct"/>
                  <w:tcBorders>
                    <w:tl2br w:val="nil"/>
                    <w:tr2bl w:val="nil"/>
                  </w:tcBorders>
                  <w:shd w:val="clear" w:color="auto" w:fill="auto"/>
                  <w:vAlign w:val="center"/>
                </w:tcPr>
                <w:p w14:paraId="23AF94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85</w:t>
                  </w:r>
                </w:p>
              </w:tc>
              <w:tc>
                <w:tcPr>
                  <w:tcW w:w="350" w:type="pct"/>
                  <w:vMerge w:val="continue"/>
                  <w:tcBorders>
                    <w:tl2br w:val="nil"/>
                    <w:tr2bl w:val="nil"/>
                  </w:tcBorders>
                  <w:shd w:val="clear" w:color="auto" w:fill="auto"/>
                  <w:vAlign w:val="center"/>
                </w:tcPr>
                <w:p w14:paraId="5B605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029518A3">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110</w:t>
                  </w:r>
                </w:p>
              </w:tc>
              <w:tc>
                <w:tcPr>
                  <w:tcW w:w="295" w:type="pct"/>
                  <w:tcBorders>
                    <w:tl2br w:val="nil"/>
                    <w:tr2bl w:val="nil"/>
                  </w:tcBorders>
                  <w:shd w:val="clear" w:color="auto" w:fill="auto"/>
                  <w:noWrap/>
                  <w:vAlign w:val="center"/>
                </w:tcPr>
                <w:p w14:paraId="6A25B9F5">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115</w:t>
                  </w:r>
                </w:p>
              </w:tc>
              <w:tc>
                <w:tcPr>
                  <w:tcW w:w="203" w:type="pct"/>
                  <w:tcBorders>
                    <w:tl2br w:val="nil"/>
                    <w:tr2bl w:val="nil"/>
                  </w:tcBorders>
                  <w:shd w:val="clear" w:color="auto" w:fill="auto"/>
                  <w:vAlign w:val="center"/>
                </w:tcPr>
                <w:p w14:paraId="02768F83">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252" w:type="pct"/>
                  <w:tcBorders>
                    <w:tl2br w:val="nil"/>
                    <w:tr2bl w:val="nil"/>
                  </w:tcBorders>
                  <w:shd w:val="clear" w:color="auto" w:fill="auto"/>
                  <w:vAlign w:val="center"/>
                </w:tcPr>
                <w:p w14:paraId="00355D22">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25</w:t>
                  </w:r>
                </w:p>
              </w:tc>
              <w:tc>
                <w:tcPr>
                  <w:tcW w:w="432" w:type="pct"/>
                  <w:tcBorders>
                    <w:tl2br w:val="nil"/>
                    <w:tr2bl w:val="nil"/>
                  </w:tcBorders>
                  <w:shd w:val="clear" w:color="auto" w:fill="auto"/>
                  <w:vAlign w:val="center"/>
                </w:tcPr>
                <w:p w14:paraId="4A134462">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57.0 </w:t>
                  </w:r>
                </w:p>
              </w:tc>
              <w:tc>
                <w:tcPr>
                  <w:tcW w:w="381" w:type="pct"/>
                  <w:tcBorders>
                    <w:tl2br w:val="nil"/>
                    <w:tr2bl w:val="nil"/>
                  </w:tcBorders>
                  <w:shd w:val="clear" w:color="auto" w:fill="auto"/>
                  <w:vAlign w:val="center"/>
                </w:tcPr>
                <w:p w14:paraId="37B2E69F">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20DC5038">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670483DF">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47.0 </w:t>
                  </w:r>
                </w:p>
              </w:tc>
              <w:tc>
                <w:tcPr>
                  <w:tcW w:w="240" w:type="pct"/>
                  <w:tcBorders>
                    <w:tl2br w:val="nil"/>
                    <w:tr2bl w:val="nil"/>
                  </w:tcBorders>
                  <w:shd w:val="clear" w:color="auto" w:fill="auto"/>
                  <w:vAlign w:val="center"/>
                </w:tcPr>
                <w:p w14:paraId="541A350D">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4E7F59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679717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w:t>
                  </w:r>
                </w:p>
              </w:tc>
              <w:tc>
                <w:tcPr>
                  <w:tcW w:w="239" w:type="pct"/>
                  <w:vMerge w:val="continue"/>
                  <w:tcBorders>
                    <w:tl2br w:val="nil"/>
                    <w:tr2bl w:val="nil"/>
                  </w:tcBorders>
                  <w:shd w:val="clear" w:color="auto" w:fill="auto"/>
                  <w:vAlign w:val="center"/>
                </w:tcPr>
                <w:p w14:paraId="394CA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4C52CE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真空自耗电弧炉</w:t>
                  </w:r>
                </w:p>
              </w:tc>
              <w:tc>
                <w:tcPr>
                  <w:tcW w:w="352" w:type="pct"/>
                  <w:tcBorders>
                    <w:tl2br w:val="nil"/>
                    <w:tr2bl w:val="nil"/>
                  </w:tcBorders>
                  <w:shd w:val="clear" w:color="auto" w:fill="auto"/>
                  <w:vAlign w:val="center"/>
                </w:tcPr>
                <w:p w14:paraId="433CF6AC">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432" w:type="pct"/>
                  <w:tcBorders>
                    <w:tl2br w:val="nil"/>
                    <w:tr2bl w:val="nil"/>
                  </w:tcBorders>
                  <w:shd w:val="clear" w:color="auto" w:fill="auto"/>
                  <w:vAlign w:val="center"/>
                </w:tcPr>
                <w:p w14:paraId="5EADE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85</w:t>
                  </w:r>
                </w:p>
              </w:tc>
              <w:tc>
                <w:tcPr>
                  <w:tcW w:w="350" w:type="pct"/>
                  <w:vMerge w:val="continue"/>
                  <w:tcBorders>
                    <w:tl2br w:val="nil"/>
                    <w:tr2bl w:val="nil"/>
                  </w:tcBorders>
                  <w:shd w:val="clear" w:color="auto" w:fill="auto"/>
                  <w:vAlign w:val="center"/>
                </w:tcPr>
                <w:p w14:paraId="774DD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64D06530">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110</w:t>
                  </w:r>
                </w:p>
              </w:tc>
              <w:tc>
                <w:tcPr>
                  <w:tcW w:w="295" w:type="pct"/>
                  <w:tcBorders>
                    <w:tl2br w:val="nil"/>
                    <w:tr2bl w:val="nil"/>
                  </w:tcBorders>
                  <w:shd w:val="clear" w:color="auto" w:fill="auto"/>
                  <w:noWrap/>
                  <w:vAlign w:val="center"/>
                </w:tcPr>
                <w:p w14:paraId="4E5F7FD0">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90</w:t>
                  </w:r>
                </w:p>
              </w:tc>
              <w:tc>
                <w:tcPr>
                  <w:tcW w:w="203" w:type="pct"/>
                  <w:tcBorders>
                    <w:tl2br w:val="nil"/>
                    <w:tr2bl w:val="nil"/>
                  </w:tcBorders>
                  <w:shd w:val="clear" w:color="auto" w:fill="auto"/>
                  <w:vAlign w:val="center"/>
                </w:tcPr>
                <w:p w14:paraId="1A9B6B39">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252" w:type="pct"/>
                  <w:tcBorders>
                    <w:tl2br w:val="nil"/>
                    <w:tr2bl w:val="nil"/>
                  </w:tcBorders>
                  <w:shd w:val="clear" w:color="auto" w:fill="auto"/>
                  <w:vAlign w:val="center"/>
                </w:tcPr>
                <w:p w14:paraId="11CDB74A">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50</w:t>
                  </w:r>
                </w:p>
              </w:tc>
              <w:tc>
                <w:tcPr>
                  <w:tcW w:w="432" w:type="pct"/>
                  <w:tcBorders>
                    <w:tl2br w:val="nil"/>
                    <w:tr2bl w:val="nil"/>
                  </w:tcBorders>
                  <w:shd w:val="clear" w:color="auto" w:fill="auto"/>
                  <w:vAlign w:val="center"/>
                </w:tcPr>
                <w:p w14:paraId="34272529">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51.0 </w:t>
                  </w:r>
                </w:p>
              </w:tc>
              <w:tc>
                <w:tcPr>
                  <w:tcW w:w="381" w:type="pct"/>
                  <w:tcBorders>
                    <w:tl2br w:val="nil"/>
                    <w:tr2bl w:val="nil"/>
                  </w:tcBorders>
                  <w:shd w:val="clear" w:color="auto" w:fill="auto"/>
                  <w:vAlign w:val="center"/>
                </w:tcPr>
                <w:p w14:paraId="55C708AE">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5E5B91FB">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19A3257E">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41.0 </w:t>
                  </w:r>
                </w:p>
              </w:tc>
              <w:tc>
                <w:tcPr>
                  <w:tcW w:w="240" w:type="pct"/>
                  <w:tcBorders>
                    <w:tl2br w:val="nil"/>
                    <w:tr2bl w:val="nil"/>
                  </w:tcBorders>
                  <w:shd w:val="clear" w:color="auto" w:fill="auto"/>
                  <w:vAlign w:val="center"/>
                </w:tcPr>
                <w:p w14:paraId="0621F306">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71C353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66CD8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w:t>
                  </w:r>
                </w:p>
              </w:tc>
              <w:tc>
                <w:tcPr>
                  <w:tcW w:w="239" w:type="pct"/>
                  <w:vMerge w:val="continue"/>
                  <w:tcBorders>
                    <w:tl2br w:val="nil"/>
                    <w:tr2bl w:val="nil"/>
                  </w:tcBorders>
                  <w:shd w:val="clear" w:color="auto" w:fill="auto"/>
                  <w:vAlign w:val="center"/>
                </w:tcPr>
                <w:p w14:paraId="534BD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17B0C5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铸锭清洗机</w:t>
                  </w:r>
                </w:p>
              </w:tc>
              <w:tc>
                <w:tcPr>
                  <w:tcW w:w="352" w:type="pct"/>
                  <w:tcBorders>
                    <w:tl2br w:val="nil"/>
                    <w:tr2bl w:val="nil"/>
                  </w:tcBorders>
                  <w:shd w:val="clear" w:color="auto" w:fill="auto"/>
                  <w:vAlign w:val="center"/>
                </w:tcPr>
                <w:p w14:paraId="72762A3C">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432" w:type="pct"/>
                  <w:tcBorders>
                    <w:tl2br w:val="nil"/>
                    <w:tr2bl w:val="nil"/>
                  </w:tcBorders>
                  <w:shd w:val="clear" w:color="auto" w:fill="auto"/>
                  <w:vAlign w:val="center"/>
                </w:tcPr>
                <w:p w14:paraId="58893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p>
              </w:tc>
              <w:tc>
                <w:tcPr>
                  <w:tcW w:w="350" w:type="pct"/>
                  <w:vMerge w:val="continue"/>
                  <w:tcBorders>
                    <w:tl2br w:val="nil"/>
                    <w:tr2bl w:val="nil"/>
                  </w:tcBorders>
                  <w:shd w:val="clear" w:color="auto" w:fill="auto"/>
                  <w:vAlign w:val="center"/>
                </w:tcPr>
                <w:p w14:paraId="1FB7E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0C553178">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c>
                <w:tcPr>
                  <w:tcW w:w="295" w:type="pct"/>
                  <w:tcBorders>
                    <w:tl2br w:val="nil"/>
                    <w:tr2bl w:val="nil"/>
                  </w:tcBorders>
                  <w:shd w:val="clear" w:color="auto" w:fill="auto"/>
                  <w:noWrap/>
                  <w:vAlign w:val="center"/>
                </w:tcPr>
                <w:p w14:paraId="1C81DEF7">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100</w:t>
                  </w:r>
                </w:p>
              </w:tc>
              <w:tc>
                <w:tcPr>
                  <w:tcW w:w="203" w:type="pct"/>
                  <w:tcBorders>
                    <w:tl2br w:val="nil"/>
                    <w:tr2bl w:val="nil"/>
                  </w:tcBorders>
                  <w:shd w:val="clear" w:color="auto" w:fill="auto"/>
                  <w:vAlign w:val="center"/>
                </w:tcPr>
                <w:p w14:paraId="271BC0AB">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w:t>
                  </w:r>
                </w:p>
              </w:tc>
              <w:tc>
                <w:tcPr>
                  <w:tcW w:w="252" w:type="pct"/>
                  <w:tcBorders>
                    <w:tl2br w:val="nil"/>
                    <w:tr2bl w:val="nil"/>
                  </w:tcBorders>
                  <w:shd w:val="clear" w:color="auto" w:fill="auto"/>
                  <w:vAlign w:val="center"/>
                </w:tcPr>
                <w:p w14:paraId="2536039B">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40</w:t>
                  </w:r>
                </w:p>
              </w:tc>
              <w:tc>
                <w:tcPr>
                  <w:tcW w:w="432" w:type="pct"/>
                  <w:tcBorders>
                    <w:tl2br w:val="nil"/>
                    <w:tr2bl w:val="nil"/>
                  </w:tcBorders>
                  <w:shd w:val="clear" w:color="auto" w:fill="auto"/>
                  <w:vAlign w:val="center"/>
                </w:tcPr>
                <w:p w14:paraId="4EFDADAD">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38.0 </w:t>
                  </w:r>
                </w:p>
              </w:tc>
              <w:tc>
                <w:tcPr>
                  <w:tcW w:w="381" w:type="pct"/>
                  <w:tcBorders>
                    <w:tl2br w:val="nil"/>
                    <w:tr2bl w:val="nil"/>
                  </w:tcBorders>
                  <w:shd w:val="clear" w:color="auto" w:fill="auto"/>
                  <w:vAlign w:val="center"/>
                </w:tcPr>
                <w:p w14:paraId="7271238C">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6D0FC90A">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1E6886B5">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28.0 </w:t>
                  </w:r>
                </w:p>
              </w:tc>
              <w:tc>
                <w:tcPr>
                  <w:tcW w:w="240" w:type="pct"/>
                  <w:tcBorders>
                    <w:tl2br w:val="nil"/>
                    <w:tr2bl w:val="nil"/>
                  </w:tcBorders>
                  <w:shd w:val="clear" w:color="auto" w:fill="auto"/>
                  <w:vAlign w:val="center"/>
                </w:tcPr>
                <w:p w14:paraId="7788C3BA">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75770F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749A8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239" w:type="pct"/>
                  <w:vMerge w:val="continue"/>
                  <w:tcBorders>
                    <w:tl2br w:val="nil"/>
                    <w:tr2bl w:val="nil"/>
                  </w:tcBorders>
                  <w:shd w:val="clear" w:color="auto" w:fill="auto"/>
                  <w:vAlign w:val="center"/>
                </w:tcPr>
                <w:p w14:paraId="39699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0030D4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坩埚清洗机</w:t>
                  </w:r>
                </w:p>
              </w:tc>
              <w:tc>
                <w:tcPr>
                  <w:tcW w:w="352" w:type="pct"/>
                  <w:tcBorders>
                    <w:tl2br w:val="nil"/>
                    <w:tr2bl w:val="nil"/>
                  </w:tcBorders>
                  <w:shd w:val="clear" w:color="auto" w:fill="auto"/>
                  <w:vAlign w:val="center"/>
                </w:tcPr>
                <w:p w14:paraId="708D1134">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432" w:type="pct"/>
                  <w:tcBorders>
                    <w:tl2br w:val="nil"/>
                    <w:tr2bl w:val="nil"/>
                  </w:tcBorders>
                  <w:shd w:val="clear" w:color="auto" w:fill="auto"/>
                  <w:vAlign w:val="center"/>
                </w:tcPr>
                <w:p w14:paraId="59DFF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p>
              </w:tc>
              <w:tc>
                <w:tcPr>
                  <w:tcW w:w="350" w:type="pct"/>
                  <w:vMerge w:val="continue"/>
                  <w:tcBorders>
                    <w:tl2br w:val="nil"/>
                    <w:tr2bl w:val="nil"/>
                  </w:tcBorders>
                  <w:shd w:val="clear" w:color="auto" w:fill="auto"/>
                  <w:vAlign w:val="center"/>
                </w:tcPr>
                <w:p w14:paraId="50557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31418496">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c>
                <w:tcPr>
                  <w:tcW w:w="295" w:type="pct"/>
                  <w:tcBorders>
                    <w:tl2br w:val="nil"/>
                    <w:tr2bl w:val="nil"/>
                  </w:tcBorders>
                  <w:shd w:val="clear" w:color="auto" w:fill="auto"/>
                  <w:noWrap/>
                  <w:vAlign w:val="center"/>
                </w:tcPr>
                <w:p w14:paraId="37149CB0">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110</w:t>
                  </w:r>
                </w:p>
              </w:tc>
              <w:tc>
                <w:tcPr>
                  <w:tcW w:w="203" w:type="pct"/>
                  <w:tcBorders>
                    <w:tl2br w:val="nil"/>
                    <w:tr2bl w:val="nil"/>
                  </w:tcBorders>
                  <w:shd w:val="clear" w:color="auto" w:fill="auto"/>
                  <w:vAlign w:val="center"/>
                </w:tcPr>
                <w:p w14:paraId="3DB9B248">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w:t>
                  </w:r>
                </w:p>
              </w:tc>
              <w:tc>
                <w:tcPr>
                  <w:tcW w:w="252" w:type="pct"/>
                  <w:tcBorders>
                    <w:tl2br w:val="nil"/>
                    <w:tr2bl w:val="nil"/>
                  </w:tcBorders>
                  <w:shd w:val="clear" w:color="auto" w:fill="auto"/>
                  <w:vAlign w:val="center"/>
                </w:tcPr>
                <w:p w14:paraId="5F47811D">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30</w:t>
                  </w:r>
                </w:p>
              </w:tc>
              <w:tc>
                <w:tcPr>
                  <w:tcW w:w="432" w:type="pct"/>
                  <w:tcBorders>
                    <w:tl2br w:val="nil"/>
                    <w:tr2bl w:val="nil"/>
                  </w:tcBorders>
                  <w:shd w:val="clear" w:color="auto" w:fill="auto"/>
                  <w:vAlign w:val="center"/>
                </w:tcPr>
                <w:p w14:paraId="6BA720E2">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40.5 </w:t>
                  </w:r>
                </w:p>
              </w:tc>
              <w:tc>
                <w:tcPr>
                  <w:tcW w:w="381" w:type="pct"/>
                  <w:tcBorders>
                    <w:tl2br w:val="nil"/>
                    <w:tr2bl w:val="nil"/>
                  </w:tcBorders>
                  <w:shd w:val="clear" w:color="auto" w:fill="auto"/>
                  <w:vAlign w:val="center"/>
                </w:tcPr>
                <w:p w14:paraId="670E1DB9">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5479F5FD">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1B40A793">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30.5 </w:t>
                  </w:r>
                </w:p>
              </w:tc>
              <w:tc>
                <w:tcPr>
                  <w:tcW w:w="240" w:type="pct"/>
                  <w:tcBorders>
                    <w:tl2br w:val="nil"/>
                    <w:tr2bl w:val="nil"/>
                  </w:tcBorders>
                  <w:shd w:val="clear" w:color="auto" w:fill="auto"/>
                  <w:vAlign w:val="center"/>
                </w:tcPr>
                <w:p w14:paraId="669CA27A">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668AC9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26E84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w:t>
                  </w:r>
                </w:p>
              </w:tc>
              <w:tc>
                <w:tcPr>
                  <w:tcW w:w="239" w:type="pct"/>
                  <w:vMerge w:val="continue"/>
                  <w:tcBorders>
                    <w:tl2br w:val="nil"/>
                    <w:tr2bl w:val="nil"/>
                  </w:tcBorders>
                  <w:shd w:val="clear" w:color="auto" w:fill="auto"/>
                  <w:vAlign w:val="center"/>
                </w:tcPr>
                <w:p w14:paraId="48881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11F103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双立柱锯车</w:t>
                  </w:r>
                </w:p>
              </w:tc>
              <w:tc>
                <w:tcPr>
                  <w:tcW w:w="352" w:type="pct"/>
                  <w:tcBorders>
                    <w:tl2br w:val="nil"/>
                    <w:tr2bl w:val="nil"/>
                  </w:tcBorders>
                  <w:shd w:val="clear" w:color="auto" w:fill="auto"/>
                  <w:vAlign w:val="center"/>
                </w:tcPr>
                <w:p w14:paraId="26541058">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432" w:type="pct"/>
                  <w:tcBorders>
                    <w:tl2br w:val="nil"/>
                    <w:tr2bl w:val="nil"/>
                  </w:tcBorders>
                  <w:shd w:val="clear" w:color="auto" w:fill="auto"/>
                  <w:vAlign w:val="center"/>
                </w:tcPr>
                <w:p w14:paraId="6D645E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80</w:t>
                  </w:r>
                </w:p>
              </w:tc>
              <w:tc>
                <w:tcPr>
                  <w:tcW w:w="350" w:type="pct"/>
                  <w:vMerge w:val="continue"/>
                  <w:tcBorders>
                    <w:tl2br w:val="nil"/>
                    <w:tr2bl w:val="nil"/>
                  </w:tcBorders>
                  <w:shd w:val="clear" w:color="auto" w:fill="auto"/>
                  <w:vAlign w:val="center"/>
                </w:tcPr>
                <w:p w14:paraId="10A615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1755C783">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color w:val="auto"/>
                      <w:kern w:val="0"/>
                      <w:sz w:val="21"/>
                      <w:szCs w:val="21"/>
                      <w:highlight w:val="none"/>
                      <w:lang w:val="en-US" w:eastAsia="zh-CN"/>
                    </w:rPr>
                  </w:pPr>
                  <w:r>
                    <w:rPr>
                      <w:rFonts w:hint="eastAsia" w:cs="Times New Roman"/>
                      <w:i w:val="0"/>
                      <w:iCs w:val="0"/>
                      <w:color w:val="auto"/>
                      <w:sz w:val="21"/>
                      <w:szCs w:val="21"/>
                      <w:highlight w:val="none"/>
                      <w:u w:val="none"/>
                      <w:lang w:val="en-US" w:eastAsia="zh-CN"/>
                    </w:rPr>
                    <w:t>110</w:t>
                  </w:r>
                </w:p>
              </w:tc>
              <w:tc>
                <w:tcPr>
                  <w:tcW w:w="295" w:type="pct"/>
                  <w:tcBorders>
                    <w:tl2br w:val="nil"/>
                    <w:tr2bl w:val="nil"/>
                  </w:tcBorders>
                  <w:shd w:val="clear" w:color="auto" w:fill="auto"/>
                  <w:noWrap/>
                  <w:vAlign w:val="center"/>
                </w:tcPr>
                <w:p w14:paraId="54E71BF2">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80</w:t>
                  </w:r>
                </w:p>
              </w:tc>
              <w:tc>
                <w:tcPr>
                  <w:tcW w:w="203" w:type="pct"/>
                  <w:tcBorders>
                    <w:tl2br w:val="nil"/>
                    <w:tr2bl w:val="nil"/>
                  </w:tcBorders>
                  <w:shd w:val="clear" w:color="auto" w:fill="auto"/>
                  <w:vAlign w:val="center"/>
                </w:tcPr>
                <w:p w14:paraId="69935323">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252" w:type="pct"/>
                  <w:tcBorders>
                    <w:tl2br w:val="nil"/>
                    <w:tr2bl w:val="nil"/>
                  </w:tcBorders>
                  <w:shd w:val="clear" w:color="auto" w:fill="auto"/>
                  <w:vAlign w:val="center"/>
                </w:tcPr>
                <w:p w14:paraId="0F655CB0">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60</w:t>
                  </w:r>
                </w:p>
              </w:tc>
              <w:tc>
                <w:tcPr>
                  <w:tcW w:w="432" w:type="pct"/>
                  <w:tcBorders>
                    <w:tl2br w:val="nil"/>
                    <w:tr2bl w:val="nil"/>
                  </w:tcBorders>
                  <w:shd w:val="clear" w:color="auto" w:fill="auto"/>
                  <w:vAlign w:val="center"/>
                </w:tcPr>
                <w:p w14:paraId="33C87046">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49.4 </w:t>
                  </w:r>
                </w:p>
              </w:tc>
              <w:tc>
                <w:tcPr>
                  <w:tcW w:w="381" w:type="pct"/>
                  <w:tcBorders>
                    <w:tl2br w:val="nil"/>
                    <w:tr2bl w:val="nil"/>
                  </w:tcBorders>
                  <w:shd w:val="clear" w:color="auto" w:fill="auto"/>
                  <w:vAlign w:val="center"/>
                </w:tcPr>
                <w:p w14:paraId="286BCA24">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65303DC3">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6980E477">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39.4 </w:t>
                  </w:r>
                </w:p>
              </w:tc>
              <w:tc>
                <w:tcPr>
                  <w:tcW w:w="240" w:type="pct"/>
                  <w:tcBorders>
                    <w:tl2br w:val="nil"/>
                    <w:tr2bl w:val="nil"/>
                  </w:tcBorders>
                  <w:shd w:val="clear" w:color="auto" w:fill="auto"/>
                  <w:vAlign w:val="center"/>
                </w:tcPr>
                <w:p w14:paraId="3E1A7B3A">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5DA44C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1196A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239" w:type="pct"/>
                  <w:vMerge w:val="restart"/>
                  <w:tcBorders>
                    <w:tl2br w:val="nil"/>
                    <w:tr2bl w:val="nil"/>
                  </w:tcBorders>
                  <w:shd w:val="clear" w:color="auto" w:fill="auto"/>
                  <w:vAlign w:val="center"/>
                </w:tcPr>
                <w:p w14:paraId="21B11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2号厂房</w:t>
                  </w:r>
                </w:p>
              </w:tc>
              <w:tc>
                <w:tcPr>
                  <w:tcW w:w="419" w:type="pct"/>
                  <w:tcBorders>
                    <w:tl2br w:val="nil"/>
                    <w:tr2bl w:val="nil"/>
                  </w:tcBorders>
                  <w:shd w:val="clear" w:color="auto" w:fill="auto"/>
                  <w:vAlign w:val="center"/>
                </w:tcPr>
                <w:p w14:paraId="70ED24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车床</w:t>
                  </w:r>
                </w:p>
              </w:tc>
              <w:tc>
                <w:tcPr>
                  <w:tcW w:w="352" w:type="pct"/>
                  <w:tcBorders>
                    <w:tl2br w:val="nil"/>
                    <w:tr2bl w:val="nil"/>
                  </w:tcBorders>
                  <w:shd w:val="clear" w:color="auto" w:fill="auto"/>
                  <w:vAlign w:val="center"/>
                </w:tcPr>
                <w:p w14:paraId="6465784E">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432" w:type="pct"/>
                  <w:tcBorders>
                    <w:tl2br w:val="nil"/>
                    <w:tr2bl w:val="nil"/>
                  </w:tcBorders>
                  <w:shd w:val="clear" w:color="auto" w:fill="auto"/>
                  <w:vAlign w:val="center"/>
                </w:tcPr>
                <w:p w14:paraId="25F34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80</w:t>
                  </w:r>
                </w:p>
              </w:tc>
              <w:tc>
                <w:tcPr>
                  <w:tcW w:w="350" w:type="pct"/>
                  <w:vMerge w:val="continue"/>
                  <w:tcBorders>
                    <w:tl2br w:val="nil"/>
                    <w:tr2bl w:val="nil"/>
                  </w:tcBorders>
                  <w:shd w:val="clear" w:color="auto" w:fill="auto"/>
                  <w:vAlign w:val="center"/>
                </w:tcPr>
                <w:p w14:paraId="247D3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4DDD0E05">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75</w:t>
                  </w:r>
                </w:p>
              </w:tc>
              <w:tc>
                <w:tcPr>
                  <w:tcW w:w="295" w:type="pct"/>
                  <w:tcBorders>
                    <w:tl2br w:val="nil"/>
                    <w:tr2bl w:val="nil"/>
                  </w:tcBorders>
                  <w:shd w:val="clear" w:color="auto" w:fill="auto"/>
                  <w:noWrap/>
                  <w:vAlign w:val="center"/>
                </w:tcPr>
                <w:p w14:paraId="42525E8D">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40</w:t>
                  </w:r>
                </w:p>
              </w:tc>
              <w:tc>
                <w:tcPr>
                  <w:tcW w:w="203" w:type="pct"/>
                  <w:tcBorders>
                    <w:tl2br w:val="nil"/>
                    <w:tr2bl w:val="nil"/>
                  </w:tcBorders>
                  <w:shd w:val="clear" w:color="auto" w:fill="auto"/>
                  <w:vAlign w:val="center"/>
                </w:tcPr>
                <w:p w14:paraId="4E548BE7">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w:t>
                  </w:r>
                </w:p>
              </w:tc>
              <w:tc>
                <w:tcPr>
                  <w:tcW w:w="252" w:type="pct"/>
                  <w:tcBorders>
                    <w:tl2br w:val="nil"/>
                    <w:tr2bl w:val="nil"/>
                  </w:tcBorders>
                  <w:shd w:val="clear" w:color="auto" w:fill="auto"/>
                  <w:vAlign w:val="center"/>
                </w:tcPr>
                <w:p w14:paraId="19BB8116">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40</w:t>
                  </w:r>
                </w:p>
              </w:tc>
              <w:tc>
                <w:tcPr>
                  <w:tcW w:w="432" w:type="pct"/>
                  <w:tcBorders>
                    <w:tl2br w:val="nil"/>
                    <w:tr2bl w:val="nil"/>
                  </w:tcBorders>
                  <w:shd w:val="clear" w:color="auto" w:fill="auto"/>
                  <w:vAlign w:val="center"/>
                </w:tcPr>
                <w:p w14:paraId="5728626E">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48.0 </w:t>
                  </w:r>
                </w:p>
              </w:tc>
              <w:tc>
                <w:tcPr>
                  <w:tcW w:w="381" w:type="pct"/>
                  <w:tcBorders>
                    <w:tl2br w:val="nil"/>
                    <w:tr2bl w:val="nil"/>
                  </w:tcBorders>
                  <w:shd w:val="clear" w:color="auto" w:fill="auto"/>
                  <w:vAlign w:val="center"/>
                </w:tcPr>
                <w:p w14:paraId="22BA5CE4">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1F648B4C">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33964A16">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38.0 </w:t>
                  </w:r>
                </w:p>
              </w:tc>
              <w:tc>
                <w:tcPr>
                  <w:tcW w:w="240" w:type="pct"/>
                  <w:tcBorders>
                    <w:tl2br w:val="nil"/>
                    <w:tr2bl w:val="nil"/>
                  </w:tcBorders>
                  <w:shd w:val="clear" w:color="auto" w:fill="auto"/>
                  <w:vAlign w:val="center"/>
                </w:tcPr>
                <w:p w14:paraId="4149D01B">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1898D2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4FD23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w:t>
                  </w:r>
                </w:p>
              </w:tc>
              <w:tc>
                <w:tcPr>
                  <w:tcW w:w="239" w:type="pct"/>
                  <w:vMerge w:val="continue"/>
                  <w:tcBorders>
                    <w:tl2br w:val="nil"/>
                    <w:tr2bl w:val="nil"/>
                  </w:tcBorders>
                  <w:shd w:val="clear" w:color="auto" w:fill="auto"/>
                  <w:vAlign w:val="center"/>
                </w:tcPr>
                <w:p w14:paraId="205AA9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419" w:type="pct"/>
                  <w:tcBorders>
                    <w:tl2br w:val="nil"/>
                    <w:tr2bl w:val="nil"/>
                  </w:tcBorders>
                  <w:shd w:val="clear" w:color="auto" w:fill="auto"/>
                  <w:vAlign w:val="center"/>
                </w:tcPr>
                <w:p w14:paraId="3D650A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切割机</w:t>
                  </w:r>
                </w:p>
              </w:tc>
              <w:tc>
                <w:tcPr>
                  <w:tcW w:w="352" w:type="pct"/>
                  <w:tcBorders>
                    <w:tl2br w:val="nil"/>
                    <w:tr2bl w:val="nil"/>
                  </w:tcBorders>
                  <w:shd w:val="clear" w:color="auto" w:fill="auto"/>
                  <w:vAlign w:val="center"/>
                </w:tcPr>
                <w:p w14:paraId="1525C4CF">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432" w:type="pct"/>
                  <w:tcBorders>
                    <w:tl2br w:val="nil"/>
                    <w:tr2bl w:val="nil"/>
                  </w:tcBorders>
                  <w:shd w:val="clear" w:color="auto" w:fill="auto"/>
                  <w:vAlign w:val="center"/>
                </w:tcPr>
                <w:p w14:paraId="210BA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80</w:t>
                  </w:r>
                </w:p>
              </w:tc>
              <w:tc>
                <w:tcPr>
                  <w:tcW w:w="350" w:type="pct"/>
                  <w:vMerge w:val="continue"/>
                  <w:tcBorders>
                    <w:tl2br w:val="nil"/>
                    <w:tr2bl w:val="nil"/>
                  </w:tcBorders>
                  <w:shd w:val="clear" w:color="auto" w:fill="auto"/>
                  <w:vAlign w:val="center"/>
                </w:tcPr>
                <w:p w14:paraId="0A65D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710A57D9">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75</w:t>
                  </w:r>
                </w:p>
              </w:tc>
              <w:tc>
                <w:tcPr>
                  <w:tcW w:w="295" w:type="pct"/>
                  <w:tcBorders>
                    <w:tl2br w:val="nil"/>
                    <w:tr2bl w:val="nil"/>
                  </w:tcBorders>
                  <w:shd w:val="clear" w:color="auto" w:fill="auto"/>
                  <w:noWrap/>
                  <w:vAlign w:val="center"/>
                </w:tcPr>
                <w:p w14:paraId="74CFC5F8">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45</w:t>
                  </w:r>
                </w:p>
              </w:tc>
              <w:tc>
                <w:tcPr>
                  <w:tcW w:w="203" w:type="pct"/>
                  <w:tcBorders>
                    <w:tl2br w:val="nil"/>
                    <w:tr2bl w:val="nil"/>
                  </w:tcBorders>
                  <w:shd w:val="clear" w:color="auto" w:fill="auto"/>
                  <w:vAlign w:val="center"/>
                </w:tcPr>
                <w:p w14:paraId="18880627">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w:t>
                  </w:r>
                </w:p>
              </w:tc>
              <w:tc>
                <w:tcPr>
                  <w:tcW w:w="252" w:type="pct"/>
                  <w:tcBorders>
                    <w:tl2br w:val="nil"/>
                    <w:tr2bl w:val="nil"/>
                  </w:tcBorders>
                  <w:shd w:val="clear" w:color="auto" w:fill="auto"/>
                  <w:vAlign w:val="center"/>
                </w:tcPr>
                <w:p w14:paraId="72A60F86">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45</w:t>
                  </w:r>
                </w:p>
              </w:tc>
              <w:tc>
                <w:tcPr>
                  <w:tcW w:w="432" w:type="pct"/>
                  <w:tcBorders>
                    <w:tl2br w:val="nil"/>
                    <w:tr2bl w:val="nil"/>
                  </w:tcBorders>
                  <w:shd w:val="clear" w:color="auto" w:fill="auto"/>
                  <w:vAlign w:val="center"/>
                </w:tcPr>
                <w:p w14:paraId="1DC75887">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46.9 </w:t>
                  </w:r>
                </w:p>
              </w:tc>
              <w:tc>
                <w:tcPr>
                  <w:tcW w:w="381" w:type="pct"/>
                  <w:tcBorders>
                    <w:tl2br w:val="nil"/>
                    <w:tr2bl w:val="nil"/>
                  </w:tcBorders>
                  <w:shd w:val="clear" w:color="auto" w:fill="auto"/>
                  <w:vAlign w:val="center"/>
                </w:tcPr>
                <w:p w14:paraId="5A500FA5">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7397C7C7">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23796D41">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36.9 </w:t>
                  </w:r>
                </w:p>
              </w:tc>
              <w:tc>
                <w:tcPr>
                  <w:tcW w:w="240" w:type="pct"/>
                  <w:tcBorders>
                    <w:tl2br w:val="nil"/>
                    <w:tr2bl w:val="nil"/>
                  </w:tcBorders>
                  <w:shd w:val="clear" w:color="auto" w:fill="auto"/>
                  <w:vAlign w:val="center"/>
                </w:tcPr>
                <w:p w14:paraId="0999B598">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r w14:paraId="5FD348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39" w:type="pct"/>
                  <w:tcBorders>
                    <w:tl2br w:val="nil"/>
                    <w:tr2bl w:val="nil"/>
                  </w:tcBorders>
                  <w:shd w:val="clear" w:color="auto" w:fill="auto"/>
                  <w:vAlign w:val="center"/>
                </w:tcPr>
                <w:p w14:paraId="291C04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w:t>
                  </w:r>
                </w:p>
              </w:tc>
              <w:tc>
                <w:tcPr>
                  <w:tcW w:w="239" w:type="pct"/>
                  <w:tcBorders>
                    <w:tl2br w:val="nil"/>
                    <w:tr2bl w:val="nil"/>
                  </w:tcBorders>
                  <w:shd w:val="clear" w:color="auto" w:fill="auto"/>
                  <w:vAlign w:val="center"/>
                </w:tcPr>
                <w:p w14:paraId="4C88C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科研实验楼</w:t>
                  </w:r>
                </w:p>
              </w:tc>
              <w:tc>
                <w:tcPr>
                  <w:tcW w:w="419" w:type="pct"/>
                  <w:tcBorders>
                    <w:tl2br w:val="nil"/>
                    <w:tr2bl w:val="nil"/>
                  </w:tcBorders>
                  <w:shd w:val="clear" w:color="auto" w:fill="auto"/>
                  <w:vAlign w:val="center"/>
                </w:tcPr>
                <w:p w14:paraId="385225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磨抛机</w:t>
                  </w:r>
                </w:p>
              </w:tc>
              <w:tc>
                <w:tcPr>
                  <w:tcW w:w="352" w:type="pct"/>
                  <w:tcBorders>
                    <w:tl2br w:val="nil"/>
                    <w:tr2bl w:val="nil"/>
                  </w:tcBorders>
                  <w:shd w:val="clear" w:color="auto" w:fill="auto"/>
                  <w:vAlign w:val="center"/>
                </w:tcPr>
                <w:p w14:paraId="7510E3F1">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432" w:type="pct"/>
                  <w:tcBorders>
                    <w:tl2br w:val="nil"/>
                    <w:tr2bl w:val="nil"/>
                  </w:tcBorders>
                  <w:shd w:val="clear" w:color="auto" w:fill="auto"/>
                  <w:vAlign w:val="center"/>
                </w:tcPr>
                <w:p w14:paraId="36931D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85</w:t>
                  </w:r>
                </w:p>
              </w:tc>
              <w:tc>
                <w:tcPr>
                  <w:tcW w:w="350" w:type="pct"/>
                  <w:vMerge w:val="continue"/>
                  <w:tcBorders>
                    <w:tl2br w:val="nil"/>
                    <w:tr2bl w:val="nil"/>
                  </w:tcBorders>
                  <w:shd w:val="clear" w:color="auto" w:fill="auto"/>
                  <w:vAlign w:val="center"/>
                </w:tcPr>
                <w:p w14:paraId="0728D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95" w:type="pct"/>
                  <w:tcBorders>
                    <w:tl2br w:val="nil"/>
                    <w:tr2bl w:val="nil"/>
                  </w:tcBorders>
                  <w:shd w:val="clear" w:color="auto" w:fill="auto"/>
                  <w:vAlign w:val="center"/>
                </w:tcPr>
                <w:p w14:paraId="2B89465E">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170</w:t>
                  </w:r>
                </w:p>
              </w:tc>
              <w:tc>
                <w:tcPr>
                  <w:tcW w:w="295" w:type="pct"/>
                  <w:tcBorders>
                    <w:tl2br w:val="nil"/>
                    <w:tr2bl w:val="nil"/>
                  </w:tcBorders>
                  <w:shd w:val="clear" w:color="auto" w:fill="auto"/>
                  <w:noWrap/>
                  <w:vAlign w:val="center"/>
                </w:tcPr>
                <w:p w14:paraId="35DDE0BE">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35</w:t>
                  </w:r>
                </w:p>
              </w:tc>
              <w:tc>
                <w:tcPr>
                  <w:tcW w:w="203" w:type="pct"/>
                  <w:tcBorders>
                    <w:tl2br w:val="nil"/>
                    <w:tr2bl w:val="nil"/>
                  </w:tcBorders>
                  <w:shd w:val="clear" w:color="auto" w:fill="auto"/>
                  <w:vAlign w:val="center"/>
                </w:tcPr>
                <w:p w14:paraId="47E79C47">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c>
                <w:tcPr>
                  <w:tcW w:w="252" w:type="pct"/>
                  <w:tcBorders>
                    <w:tl2br w:val="nil"/>
                    <w:tr2bl w:val="nil"/>
                  </w:tcBorders>
                  <w:shd w:val="clear" w:color="auto" w:fill="auto"/>
                  <w:vAlign w:val="center"/>
                </w:tcPr>
                <w:p w14:paraId="2F125E4D">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35</w:t>
                  </w:r>
                </w:p>
              </w:tc>
              <w:tc>
                <w:tcPr>
                  <w:tcW w:w="432" w:type="pct"/>
                  <w:tcBorders>
                    <w:tl2br w:val="nil"/>
                    <w:tr2bl w:val="nil"/>
                  </w:tcBorders>
                  <w:shd w:val="clear" w:color="auto" w:fill="auto"/>
                  <w:vAlign w:val="center"/>
                </w:tcPr>
                <w:p w14:paraId="70E3C66D">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54.1 </w:t>
                  </w:r>
                </w:p>
              </w:tc>
              <w:tc>
                <w:tcPr>
                  <w:tcW w:w="381" w:type="pct"/>
                  <w:tcBorders>
                    <w:tl2br w:val="nil"/>
                    <w:tr2bl w:val="nil"/>
                  </w:tcBorders>
                  <w:shd w:val="clear" w:color="auto" w:fill="auto"/>
                  <w:vAlign w:val="center"/>
                </w:tcPr>
                <w:p w14:paraId="58F5AA15">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default" w:cs="Times New Roman"/>
                      <w:i w:val="0"/>
                      <w:iCs w:val="0"/>
                      <w:color w:val="auto"/>
                      <w:sz w:val="21"/>
                      <w:szCs w:val="21"/>
                      <w:highlight w:val="none"/>
                      <w:u w:val="none"/>
                      <w:lang w:val="en-US" w:eastAsia="zh-CN"/>
                    </w:rPr>
                    <w:t>h/d</w:t>
                  </w:r>
                </w:p>
              </w:tc>
              <w:tc>
                <w:tcPr>
                  <w:tcW w:w="432" w:type="pct"/>
                  <w:tcBorders>
                    <w:tl2br w:val="nil"/>
                    <w:tr2bl w:val="nil"/>
                  </w:tcBorders>
                  <w:shd w:val="clear" w:color="auto" w:fill="auto"/>
                  <w:vAlign w:val="center"/>
                </w:tcPr>
                <w:p w14:paraId="3E8FF526">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432" w:type="pct"/>
                  <w:tcBorders>
                    <w:tl2br w:val="nil"/>
                    <w:tr2bl w:val="nil"/>
                  </w:tcBorders>
                  <w:shd w:val="clear" w:color="auto" w:fill="auto"/>
                  <w:vAlign w:val="center"/>
                </w:tcPr>
                <w:p w14:paraId="68A95CA1">
                  <w:pPr>
                    <w:keepNext w:val="0"/>
                    <w:keepLines w:val="0"/>
                    <w:widowControl/>
                    <w:suppressLineNumbers w:val="0"/>
                    <w:spacing w:before="0" w:beforeLines="0" w:beforeAutospacing="0" w:after="0" w:afterLines="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 xml:space="preserve">44.1 </w:t>
                  </w:r>
                </w:p>
              </w:tc>
              <w:tc>
                <w:tcPr>
                  <w:tcW w:w="240" w:type="pct"/>
                  <w:tcBorders>
                    <w:tl2br w:val="nil"/>
                    <w:tr2bl w:val="nil"/>
                  </w:tcBorders>
                  <w:shd w:val="clear" w:color="auto" w:fill="auto"/>
                  <w:vAlign w:val="center"/>
                </w:tcPr>
                <w:p w14:paraId="5567EC78">
                  <w:pPr>
                    <w:keepNext w:val="0"/>
                    <w:keepLines w:val="0"/>
                    <w:widowControl/>
                    <w:suppressLineNumbers w:val="0"/>
                    <w:spacing w:before="0" w:beforeLines="0" w:beforeAutospacing="0" w:after="0" w:afterLines="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default" w:cs="Times New Roman"/>
                      <w:i w:val="0"/>
                      <w:iCs w:val="0"/>
                      <w:color w:val="auto"/>
                      <w:sz w:val="21"/>
                      <w:szCs w:val="21"/>
                      <w:highlight w:val="none"/>
                      <w:u w:val="none"/>
                      <w:lang w:val="en-US" w:eastAsia="zh-CN"/>
                    </w:rPr>
                    <w:t>1</w:t>
                  </w:r>
                </w:p>
              </w:tc>
            </w:tr>
          </w:tbl>
          <w:p w14:paraId="4987DA8C">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项目噪声源强调查清单（室外声源）</w:t>
            </w:r>
          </w:p>
          <w:tbl>
            <w:tblPr>
              <w:tblStyle w:val="2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67"/>
              <w:gridCol w:w="1451"/>
              <w:gridCol w:w="548"/>
              <w:gridCol w:w="548"/>
              <w:gridCol w:w="553"/>
              <w:gridCol w:w="1530"/>
              <w:gridCol w:w="1888"/>
              <w:gridCol w:w="833"/>
            </w:tblGrid>
            <w:tr w14:paraId="15E12C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358" w:type="pct"/>
                  <w:vMerge w:val="restart"/>
                  <w:tcBorders>
                    <w:tl2br w:val="nil"/>
                    <w:tr2bl w:val="nil"/>
                  </w:tcBorders>
                  <w:shd w:val="clear" w:color="auto" w:fill="auto"/>
                  <w:vAlign w:val="center"/>
                </w:tcPr>
                <w:p w14:paraId="3531F0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916" w:type="pct"/>
                  <w:vMerge w:val="restart"/>
                  <w:tcBorders>
                    <w:tl2br w:val="nil"/>
                    <w:tr2bl w:val="nil"/>
                  </w:tcBorders>
                  <w:shd w:val="clear" w:color="auto" w:fill="auto"/>
                  <w:vAlign w:val="center"/>
                </w:tcPr>
                <w:p w14:paraId="1AF26C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声源名称</w:t>
                  </w:r>
                </w:p>
              </w:tc>
              <w:tc>
                <w:tcPr>
                  <w:tcW w:w="1041" w:type="pct"/>
                  <w:gridSpan w:val="3"/>
                  <w:tcBorders>
                    <w:tl2br w:val="nil"/>
                    <w:tr2bl w:val="nil"/>
                  </w:tcBorders>
                  <w:shd w:val="clear" w:color="auto" w:fill="auto"/>
                  <w:vAlign w:val="center"/>
                </w:tcPr>
                <w:p w14:paraId="37BE61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空间相对位置/m</w:t>
                  </w:r>
                </w:p>
              </w:tc>
              <w:tc>
                <w:tcPr>
                  <w:tcW w:w="966" w:type="pct"/>
                  <w:tcBorders>
                    <w:tl2br w:val="nil"/>
                    <w:tr2bl w:val="nil"/>
                  </w:tcBorders>
                  <w:shd w:val="clear" w:color="auto" w:fill="auto"/>
                  <w:vAlign w:val="center"/>
                </w:tcPr>
                <w:p w14:paraId="4602E5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声源源强</w:t>
                  </w:r>
                </w:p>
              </w:tc>
              <w:tc>
                <w:tcPr>
                  <w:tcW w:w="1192" w:type="pct"/>
                  <w:vMerge w:val="restart"/>
                  <w:tcBorders>
                    <w:tl2br w:val="nil"/>
                    <w:tr2bl w:val="nil"/>
                  </w:tcBorders>
                  <w:shd w:val="clear" w:color="auto" w:fill="auto"/>
                  <w:vAlign w:val="center"/>
                </w:tcPr>
                <w:p w14:paraId="416E7D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声源控制措施</w:t>
                  </w:r>
                </w:p>
              </w:tc>
              <w:tc>
                <w:tcPr>
                  <w:tcW w:w="525" w:type="pct"/>
                  <w:vMerge w:val="restart"/>
                  <w:tcBorders>
                    <w:tl2br w:val="nil"/>
                    <w:tr2bl w:val="nil"/>
                  </w:tcBorders>
                  <w:shd w:val="clear" w:color="auto" w:fill="auto"/>
                  <w:vAlign w:val="center"/>
                </w:tcPr>
                <w:p w14:paraId="706464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运行时段</w:t>
                  </w:r>
                </w:p>
              </w:tc>
            </w:tr>
            <w:tr w14:paraId="0453E8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8" w:type="pct"/>
                  <w:vMerge w:val="continue"/>
                  <w:tcBorders>
                    <w:tl2br w:val="nil"/>
                    <w:tr2bl w:val="nil"/>
                  </w:tcBorders>
                  <w:shd w:val="clear" w:color="auto" w:fill="auto"/>
                  <w:vAlign w:val="center"/>
                </w:tcPr>
                <w:p w14:paraId="580356E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916" w:type="pct"/>
                  <w:vMerge w:val="continue"/>
                  <w:tcBorders>
                    <w:tl2br w:val="nil"/>
                    <w:tr2bl w:val="nil"/>
                  </w:tcBorders>
                  <w:shd w:val="clear" w:color="auto" w:fill="auto"/>
                  <w:vAlign w:val="center"/>
                </w:tcPr>
                <w:p w14:paraId="64E09BA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346" w:type="pct"/>
                  <w:tcBorders>
                    <w:tl2br w:val="nil"/>
                    <w:tr2bl w:val="nil"/>
                  </w:tcBorders>
                  <w:shd w:val="clear" w:color="auto" w:fill="auto"/>
                  <w:vAlign w:val="center"/>
                </w:tcPr>
                <w:p w14:paraId="00114C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w:t>
                  </w:r>
                </w:p>
              </w:tc>
              <w:tc>
                <w:tcPr>
                  <w:tcW w:w="346" w:type="pct"/>
                  <w:tcBorders>
                    <w:tl2br w:val="nil"/>
                    <w:tr2bl w:val="nil"/>
                  </w:tcBorders>
                  <w:shd w:val="clear" w:color="auto" w:fill="auto"/>
                  <w:vAlign w:val="center"/>
                </w:tcPr>
                <w:p w14:paraId="2AFC75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w:t>
                  </w:r>
                </w:p>
              </w:tc>
              <w:tc>
                <w:tcPr>
                  <w:tcW w:w="347" w:type="pct"/>
                  <w:tcBorders>
                    <w:tl2br w:val="nil"/>
                    <w:tr2bl w:val="nil"/>
                  </w:tcBorders>
                  <w:shd w:val="clear" w:color="auto" w:fill="auto"/>
                  <w:vAlign w:val="center"/>
                </w:tcPr>
                <w:p w14:paraId="565E55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w:t>
                  </w:r>
                </w:p>
              </w:tc>
              <w:tc>
                <w:tcPr>
                  <w:tcW w:w="966" w:type="pct"/>
                  <w:tcBorders>
                    <w:tl2br w:val="nil"/>
                    <w:tr2bl w:val="nil"/>
                  </w:tcBorders>
                  <w:shd w:val="clear" w:color="auto" w:fill="auto"/>
                  <w:vAlign w:val="center"/>
                </w:tcPr>
                <w:p w14:paraId="2BA262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（声压级/距声源距离）/(dB(A)/m)</w:t>
                  </w:r>
                </w:p>
              </w:tc>
              <w:tc>
                <w:tcPr>
                  <w:tcW w:w="1192" w:type="pct"/>
                  <w:vMerge w:val="continue"/>
                  <w:tcBorders>
                    <w:tl2br w:val="nil"/>
                    <w:tr2bl w:val="nil"/>
                  </w:tcBorders>
                  <w:shd w:val="clear" w:color="auto" w:fill="auto"/>
                  <w:vAlign w:val="center"/>
                </w:tcPr>
                <w:p w14:paraId="406B60B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525" w:type="pct"/>
                  <w:vMerge w:val="continue"/>
                  <w:tcBorders>
                    <w:tl2br w:val="nil"/>
                    <w:tr2bl w:val="nil"/>
                  </w:tcBorders>
                  <w:shd w:val="clear" w:color="auto" w:fill="auto"/>
                  <w:vAlign w:val="center"/>
                </w:tcPr>
                <w:p w14:paraId="1A71EC5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r>
            <w:tr w14:paraId="56CD57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8" w:type="pct"/>
                  <w:tcBorders>
                    <w:tl2br w:val="nil"/>
                    <w:tr2bl w:val="nil"/>
                  </w:tcBorders>
                  <w:shd w:val="clear" w:color="auto" w:fill="auto"/>
                  <w:vAlign w:val="center"/>
                </w:tcPr>
                <w:p w14:paraId="4B738F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16" w:type="pct"/>
                  <w:tcBorders>
                    <w:tl2br w:val="nil"/>
                    <w:tr2bl w:val="nil"/>
                  </w:tcBorders>
                  <w:shd w:val="clear" w:color="auto" w:fill="auto"/>
                  <w:noWrap/>
                  <w:vAlign w:val="center"/>
                </w:tcPr>
                <w:p w14:paraId="4E3F53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活性炭吸附装置</w:t>
                  </w:r>
                  <w:r>
                    <w:rPr>
                      <w:rFonts w:hint="default" w:ascii="Times New Roman" w:hAnsi="Times New Roman" w:eastAsia="宋体" w:cs="Times New Roman"/>
                      <w:i w:val="0"/>
                      <w:iCs w:val="0"/>
                      <w:color w:val="auto"/>
                      <w:kern w:val="0"/>
                      <w:sz w:val="21"/>
                      <w:szCs w:val="21"/>
                      <w:highlight w:val="none"/>
                      <w:u w:val="none"/>
                      <w:lang w:val="en-US" w:eastAsia="zh-CN" w:bidi="ar"/>
                    </w:rPr>
                    <w:t>风机</w:t>
                  </w:r>
                </w:p>
              </w:tc>
              <w:tc>
                <w:tcPr>
                  <w:tcW w:w="346" w:type="pct"/>
                  <w:tcBorders>
                    <w:tl2br w:val="nil"/>
                    <w:tr2bl w:val="nil"/>
                  </w:tcBorders>
                  <w:shd w:val="clear" w:color="auto" w:fill="auto"/>
                  <w:vAlign w:val="center"/>
                </w:tcPr>
                <w:p w14:paraId="7ECA31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170</w:t>
                  </w:r>
                </w:p>
              </w:tc>
              <w:tc>
                <w:tcPr>
                  <w:tcW w:w="346" w:type="pct"/>
                  <w:tcBorders>
                    <w:tl2br w:val="nil"/>
                    <w:tr2bl w:val="nil"/>
                  </w:tcBorders>
                  <w:shd w:val="clear" w:color="auto" w:fill="auto"/>
                  <w:vAlign w:val="center"/>
                </w:tcPr>
                <w:p w14:paraId="2163ED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40</w:t>
                  </w:r>
                </w:p>
              </w:tc>
              <w:tc>
                <w:tcPr>
                  <w:tcW w:w="347" w:type="pct"/>
                  <w:tcBorders>
                    <w:tl2br w:val="nil"/>
                    <w:tr2bl w:val="nil"/>
                  </w:tcBorders>
                  <w:shd w:val="clear" w:color="auto" w:fill="auto"/>
                  <w:vAlign w:val="center"/>
                </w:tcPr>
                <w:p w14:paraId="0E5CEB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66" w:type="pct"/>
                  <w:tcBorders>
                    <w:tl2br w:val="nil"/>
                    <w:tr2bl w:val="nil"/>
                  </w:tcBorders>
                  <w:shd w:val="clear" w:color="auto" w:fill="auto"/>
                  <w:vAlign w:val="center"/>
                </w:tcPr>
                <w:p w14:paraId="4550A7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85/1.5</w:t>
                  </w:r>
                </w:p>
              </w:tc>
              <w:tc>
                <w:tcPr>
                  <w:tcW w:w="1192" w:type="pct"/>
                  <w:tcBorders>
                    <w:tl2br w:val="nil"/>
                    <w:tr2bl w:val="nil"/>
                  </w:tcBorders>
                  <w:shd w:val="clear" w:color="auto" w:fill="auto"/>
                  <w:vAlign w:val="center"/>
                </w:tcPr>
                <w:p w14:paraId="1B8824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lang w:val="en-US" w:eastAsia="zh-CN" w:bidi="ar"/>
                    </w:rPr>
                    <w:t>隔音罩降噪</w:t>
                  </w:r>
                </w:p>
              </w:tc>
              <w:tc>
                <w:tcPr>
                  <w:tcW w:w="525" w:type="pct"/>
                  <w:tcBorders>
                    <w:tl2br w:val="nil"/>
                    <w:tr2bl w:val="nil"/>
                  </w:tcBorders>
                  <w:shd w:val="clear" w:color="auto" w:fill="auto"/>
                  <w:vAlign w:val="center"/>
                </w:tcPr>
                <w:p w14:paraId="4715A7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连续</w:t>
                  </w:r>
                </w:p>
              </w:tc>
            </w:tr>
            <w:tr w14:paraId="6BC405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8" w:type="pct"/>
                  <w:tcBorders>
                    <w:tl2br w:val="nil"/>
                    <w:tr2bl w:val="nil"/>
                  </w:tcBorders>
                  <w:shd w:val="clear" w:color="auto" w:fill="auto"/>
                  <w:vAlign w:val="center"/>
                </w:tcPr>
                <w:p w14:paraId="6DCC68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916" w:type="pct"/>
                  <w:tcBorders>
                    <w:tl2br w:val="nil"/>
                    <w:tr2bl w:val="nil"/>
                  </w:tcBorders>
                  <w:shd w:val="clear" w:color="auto" w:fill="auto"/>
                  <w:noWrap/>
                  <w:vAlign w:val="center"/>
                </w:tcPr>
                <w:p w14:paraId="39CC6B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喷淋塔</w:t>
                  </w:r>
                  <w:r>
                    <w:rPr>
                      <w:rFonts w:hint="default" w:ascii="Times New Roman" w:hAnsi="Times New Roman" w:eastAsia="宋体" w:cs="Times New Roman"/>
                      <w:i w:val="0"/>
                      <w:iCs w:val="0"/>
                      <w:color w:val="auto"/>
                      <w:kern w:val="0"/>
                      <w:sz w:val="21"/>
                      <w:szCs w:val="21"/>
                      <w:highlight w:val="none"/>
                      <w:u w:val="none"/>
                      <w:lang w:val="en-US" w:eastAsia="zh-CN" w:bidi="ar"/>
                    </w:rPr>
                    <w:t>风机</w:t>
                  </w:r>
                </w:p>
              </w:tc>
              <w:tc>
                <w:tcPr>
                  <w:tcW w:w="346" w:type="pct"/>
                  <w:tcBorders>
                    <w:tl2br w:val="nil"/>
                    <w:tr2bl w:val="nil"/>
                  </w:tcBorders>
                  <w:shd w:val="clear" w:color="auto" w:fill="auto"/>
                  <w:vAlign w:val="center"/>
                </w:tcPr>
                <w:p w14:paraId="00562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165</w:t>
                  </w:r>
                </w:p>
              </w:tc>
              <w:tc>
                <w:tcPr>
                  <w:tcW w:w="346" w:type="pct"/>
                  <w:tcBorders>
                    <w:tl2br w:val="nil"/>
                    <w:tr2bl w:val="nil"/>
                  </w:tcBorders>
                  <w:shd w:val="clear" w:color="auto" w:fill="auto"/>
                  <w:vAlign w:val="center"/>
                </w:tcPr>
                <w:p w14:paraId="4EEF70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40</w:t>
                  </w:r>
                </w:p>
              </w:tc>
              <w:tc>
                <w:tcPr>
                  <w:tcW w:w="347" w:type="pct"/>
                  <w:tcBorders>
                    <w:tl2br w:val="nil"/>
                    <w:tr2bl w:val="nil"/>
                  </w:tcBorders>
                  <w:shd w:val="clear" w:color="auto" w:fill="auto"/>
                  <w:vAlign w:val="center"/>
                </w:tcPr>
                <w:p w14:paraId="4B1919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66" w:type="pct"/>
                  <w:tcBorders>
                    <w:tl2br w:val="nil"/>
                    <w:tr2bl w:val="nil"/>
                  </w:tcBorders>
                  <w:shd w:val="clear" w:color="auto" w:fill="auto"/>
                  <w:vAlign w:val="center"/>
                </w:tcPr>
                <w:p w14:paraId="0EDB41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85/1.5</w:t>
                  </w:r>
                </w:p>
              </w:tc>
              <w:tc>
                <w:tcPr>
                  <w:tcW w:w="1192" w:type="pct"/>
                  <w:tcBorders>
                    <w:tl2br w:val="nil"/>
                    <w:tr2bl w:val="nil"/>
                  </w:tcBorders>
                  <w:shd w:val="clear" w:color="auto" w:fill="auto"/>
                  <w:vAlign w:val="center"/>
                </w:tcPr>
                <w:p w14:paraId="204C1E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lang w:val="en-US" w:eastAsia="zh-CN" w:bidi="ar"/>
                    </w:rPr>
                    <w:t>隔音罩降噪</w:t>
                  </w:r>
                </w:p>
              </w:tc>
              <w:tc>
                <w:tcPr>
                  <w:tcW w:w="525" w:type="pct"/>
                  <w:tcBorders>
                    <w:tl2br w:val="nil"/>
                    <w:tr2bl w:val="nil"/>
                  </w:tcBorders>
                  <w:shd w:val="clear" w:color="auto" w:fill="auto"/>
                  <w:vAlign w:val="center"/>
                </w:tcPr>
                <w:p w14:paraId="41FB17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连续</w:t>
                  </w:r>
                </w:p>
              </w:tc>
            </w:tr>
          </w:tbl>
          <w:p w14:paraId="5D3C7C13">
            <w:pPr>
              <w:keepNext w:val="0"/>
              <w:keepLines w:val="0"/>
              <w:pageBreakBefore w:val="0"/>
              <w:widowControl w:val="0"/>
              <w:suppressLineNumbers w:val="0"/>
              <w:overflowPunct/>
              <w:topLinePunct w:val="0"/>
              <w:autoSpaceDE/>
              <w:autoSpaceDN/>
              <w:bidi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注：本项目（0，0）点坐标位于厂址西南角，“X”代表以正东为正方向的坐标轴，“Y”代表以正北为正方向的坐标轴，“Y”代表垂直于 X，Y 向上的坐标轴。</w:t>
            </w:r>
          </w:p>
          <w:p w14:paraId="04857212">
            <w:pPr>
              <w:keepNext w:val="0"/>
              <w:keepLines w:val="0"/>
              <w:pageBreakBefore w:val="0"/>
              <w:widowControl w:val="0"/>
              <w:suppressLineNumbers w:val="0"/>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预测模式</w:t>
            </w:r>
          </w:p>
          <w:p w14:paraId="50CB5AE0">
            <w:pPr>
              <w:keepNext w:val="0"/>
              <w:keepLines w:val="0"/>
              <w:pageBreakBefore w:val="0"/>
              <w:widowControl w:val="0"/>
              <w:suppressLineNumbers w:val="0"/>
              <w:kinsoku w:val="0"/>
              <w:wordWrap w:val="0"/>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室内声源</w:t>
            </w:r>
          </w:p>
          <w:p w14:paraId="59740A5D">
            <w:pPr>
              <w:keepNext w:val="0"/>
              <w:keepLines w:val="0"/>
              <w:pageBreakBefore w:val="0"/>
              <w:widowControl w:val="0"/>
              <w:suppressLineNumbers w:val="0"/>
              <w:kinsoku w:val="0"/>
              <w:wordWrap w:val="0"/>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本项目布袋除尘器风机及活性炭吸附装置风机皆安装在厂房内。</w:t>
            </w:r>
            <w:r>
              <w:rPr>
                <w:rFonts w:hint="default" w:ascii="Times New Roman" w:hAnsi="Times New Roman" w:eastAsia="宋体" w:cs="Times New Roman"/>
                <w:color w:val="auto"/>
                <w:sz w:val="24"/>
                <w:highlight w:val="none"/>
              </w:rPr>
              <w:t>根据《环境影响评价技术导则 声环境》（HJ 2.4-2021）推荐的室内声源的声传播模式，将室内声源等效为室外点声源，据此，室内声源传播衰减公式为：</w:t>
            </w:r>
          </w:p>
          <w:p w14:paraId="613BFD7D">
            <w:pPr>
              <w:keepNext w:val="0"/>
              <w:keepLines w:val="0"/>
              <w:widowControl/>
              <w:suppressLineNumbers w:val="0"/>
              <w:kinsoku w:val="0"/>
              <w:wordWrap w:val="0"/>
              <w:adjustRightInd w:val="0"/>
              <w:snapToGrid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5" o:spt="75" type="#_x0000_t75" style="height:30.5pt;width:163.95pt;" o:ole="t" filled="f" o:preferrelative="t" stroked="f" coordsize="21600,21600">
                  <v:path/>
                  <v:fill on="f" focussize="0,0"/>
                  <v:stroke on="f"/>
                  <v:imagedata r:id="rId18" o:title=""/>
                  <o:lock v:ext="edit" aspectratio="t"/>
                  <w10:wrap type="none"/>
                  <w10:anchorlock/>
                </v:shape>
                <o:OLEObject Type="Embed" ProgID="Equation.DSMT4" ShapeID="_x0000_i1025" DrawAspect="Content" ObjectID="_1468075725" r:id="rId17">
                  <o:LockedField>false</o:LockedField>
                </o:OLEObject>
              </w:object>
            </w:r>
          </w:p>
          <w:p w14:paraId="5C876F53">
            <w:pPr>
              <w:keepNext w:val="0"/>
              <w:keepLines w:val="0"/>
              <w:widowControl/>
              <w:suppressLineNumbers w:val="0"/>
              <w:kinsoku w:val="0"/>
              <w:wordWrap w:val="0"/>
              <w:adjustRightInd w:val="0"/>
              <w:snapToGrid w:val="0"/>
              <w:spacing w:before="0" w:beforeAutospacing="0" w:after="0" w:afterAutospacing="0" w:line="360" w:lineRule="auto"/>
              <w:ind w:left="1140" w:leftChars="200" w:right="0" w:hanging="720" w:hangingChars="3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position w:val="-10"/>
                <w:sz w:val="24"/>
                <w:highlight w:val="none"/>
              </w:rPr>
              <w:object>
                <v:shape id="_x0000_i1026" o:spt="75" type="#_x0000_t75" style="height:15.2pt;width:27.7pt;" o:ole="t" filled="f" o:preferrelative="t" stroked="f" coordsize="21600,21600">
                  <v:path/>
                  <v:fill on="f" focussize="0,0"/>
                  <v:stroke on="f"/>
                  <v:imagedata r:id="rId20" o:title=""/>
                  <o:lock v:ext="edit" aspectratio="t"/>
                  <w10:wrap type="none"/>
                  <w10:anchorlock/>
                </v:shape>
                <o:OLEObject Type="Embed" ProgID="Equation.KSEE3" ShapeID="_x0000_i1026" DrawAspect="Content" ObjectID="_1468075726" r:id="rId19">
                  <o:LockedField>false</o:LockedField>
                </o:OLEObject>
              </w:object>
            </w:r>
            <w:r>
              <w:rPr>
                <w:rFonts w:hint="default" w:ascii="Times New Roman" w:hAnsi="Times New Roman" w:eastAsia="宋体" w:cs="Times New Roman"/>
                <w:color w:val="auto"/>
                <w:sz w:val="24"/>
                <w:highlight w:val="none"/>
              </w:rPr>
              <w:t>——距离噪声源rm处的声压级，dB（A）；</w:t>
            </w:r>
          </w:p>
          <w:p w14:paraId="0F60E498">
            <w:pPr>
              <w:keepNext w:val="0"/>
              <w:keepLines w:val="0"/>
              <w:widowControl/>
              <w:suppressLineNumbers w:val="0"/>
              <w:kinsoku w:val="0"/>
              <w:wordWrap w:val="0"/>
              <w:adjustRightInd w:val="0"/>
              <w:snapToGrid w:val="0"/>
              <w:spacing w:before="0" w:beforeAutospacing="0" w:after="0" w:afterAutospacing="0" w:line="360" w:lineRule="auto"/>
              <w:ind w:left="1140" w:leftChars="200" w:right="0" w:hanging="720" w:hangingChars="3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2"/>
                <w:sz w:val="24"/>
                <w:highlight w:val="none"/>
              </w:rPr>
              <w:object>
                <v:shape id="_x0000_i1027" o:spt="75" type="#_x0000_t75" style="height:16.2pt;width:17.05pt;" o:ole="t" filled="f" o:preferrelative="t" stroked="f" coordsize="21600,21600">
                  <v:path/>
                  <v:fill on="f" focussize="0,0"/>
                  <v:stroke on="f"/>
                  <v:imagedata r:id="rId22" o:title=""/>
                  <o:lock v:ext="edit" aspectratio="t"/>
                  <w10:wrap type="none"/>
                  <w10:anchorlock/>
                </v:shape>
                <o:OLEObject Type="Embed" ProgID="Equation.KSEE3" ShapeID="_x0000_i1027" DrawAspect="Content" ObjectID="_1468075727" r:id="rId21">
                  <o:LockedField>false</o:LockedField>
                </o:OLEObject>
              </w:object>
            </w:r>
            <w:r>
              <w:rPr>
                <w:rFonts w:hint="default" w:ascii="Times New Roman" w:hAnsi="Times New Roman" w:eastAsia="宋体" w:cs="Times New Roman"/>
                <w:color w:val="auto"/>
                <w:sz w:val="24"/>
                <w:highlight w:val="none"/>
              </w:rPr>
              <w:t>——声源中心r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处测的声压级，dB（A）；</w:t>
            </w:r>
          </w:p>
          <w:p w14:paraId="26718304">
            <w:pPr>
              <w:keepNext w:val="0"/>
              <w:keepLines w:val="0"/>
              <w:widowControl/>
              <w:suppressLineNumbers w:val="0"/>
              <w:kinsoku w:val="0"/>
              <w:wordWrap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rPr>
              <w:object>
                <v:shape id="_x0000_i1028" o:spt="75" type="#_x0000_t75" style="height:11.25pt;width:14.7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r>
              <w:rPr>
                <w:rFonts w:hint="default" w:ascii="Times New Roman" w:hAnsi="Times New Roman" w:eastAsia="宋体" w:cs="Times New Roman"/>
                <w:color w:val="auto"/>
                <w:sz w:val="24"/>
                <w:highlight w:val="none"/>
              </w:rPr>
              <w:t>——墙壁隔声量，本项目取</w:t>
            </w:r>
            <w:r>
              <w:rPr>
                <w:rFonts w:hint="eastAsia" w:cs="Times New Roman"/>
                <w:color w:val="auto"/>
                <w:sz w:val="24"/>
                <w:highlight w:val="none"/>
                <w:lang w:val="en-US" w:eastAsia="zh-CN"/>
              </w:rPr>
              <w:t>15</w:t>
            </w:r>
            <w:r>
              <w:rPr>
                <w:rFonts w:hint="default" w:ascii="Times New Roman" w:hAnsi="Times New Roman" w:eastAsia="宋体" w:cs="Times New Roman"/>
                <w:color w:val="auto"/>
                <w:sz w:val="24"/>
                <w:highlight w:val="none"/>
              </w:rPr>
              <w:t>dB（A）；</w:t>
            </w:r>
          </w:p>
          <w:p w14:paraId="28BF5043">
            <w:pPr>
              <w:keepNext w:val="0"/>
              <w:keepLines w:val="0"/>
              <w:widowControl/>
              <w:suppressLineNumbers w:val="0"/>
              <w:kinsoku w:val="0"/>
              <w:wordWrap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6"/>
                <w:sz w:val="24"/>
                <w:highlight w:val="none"/>
              </w:rPr>
              <w:object>
                <v:shape id="_x0000_i1029" o:spt="75" type="#_x0000_t75" style="height:10.2pt;width:10.6pt;" o:ole="t" filled="f" o:preferrelative="t" stroked="f" coordsize="21600,21600">
                  <v:path/>
                  <v:fill on="f" focussize="0,0"/>
                  <v:stroke on="f"/>
                  <v:imagedata r:id="rId26" o:title=""/>
                  <o:lock v:ext="edit" aspectratio="t"/>
                  <w10:wrap type="none"/>
                  <w10:anchorlock/>
                </v:shape>
                <o:OLEObject Type="Embed" ProgID="Equation.3" ShapeID="_x0000_i1029" DrawAspect="Content" ObjectID="_1468075729" r:id="rId25">
                  <o:LockedField>false</o:LockedField>
                </o:OLEObject>
              </w:object>
            </w:r>
            <w:r>
              <w:rPr>
                <w:rFonts w:hint="default" w:ascii="Times New Roman" w:hAnsi="Times New Roman" w:eastAsia="宋体" w:cs="Times New Roman"/>
                <w:color w:val="auto"/>
                <w:sz w:val="24"/>
                <w:highlight w:val="none"/>
              </w:rPr>
              <w:t>——平均吸声系数，本项目中取0.15；</w:t>
            </w:r>
          </w:p>
          <w:p w14:paraId="41F8672D">
            <w:pPr>
              <w:keepNext w:val="0"/>
              <w:keepLines w:val="0"/>
              <w:widowControl/>
              <w:suppressLineNumbers w:val="0"/>
              <w:kinsoku w:val="0"/>
              <w:wordWrap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rPr>
              <w:object>
                <v:shape id="_x0000_i1030" o:spt="75" type="#_x0000_t75" style="height:10.1pt;width:8.65pt;" o:ole="t" filled="f" o:preferrelative="t" stroked="f" coordsize="21600,21600">
                  <v:path/>
                  <v:fill on="f" focussize="0,0"/>
                  <v:stroke on="f"/>
                  <v:imagedata r:id="rId28" o:title=""/>
                  <o:lock v:ext="edit" aspectratio="t"/>
                  <w10:wrap type="none"/>
                  <w10:anchorlock/>
                </v:shape>
                <o:OLEObject Type="Embed" ProgID="Equation.3" ShapeID="_x0000_i1030" DrawAspect="Content" ObjectID="_1468075730" r:id="rId27">
                  <o:LockedField>false</o:LockedField>
                </o:OLEObject>
              </w:object>
            </w:r>
            <w:r>
              <w:rPr>
                <w:rFonts w:hint="default" w:ascii="Times New Roman" w:hAnsi="Times New Roman" w:eastAsia="宋体" w:cs="Times New Roman"/>
                <w:color w:val="auto"/>
                <w:sz w:val="24"/>
                <w:highlight w:val="none"/>
              </w:rPr>
              <w:t>——参考位置距噪声源的距离，m；</w:t>
            </w:r>
          </w:p>
          <w:p w14:paraId="55CA5E4B">
            <w:pPr>
              <w:keepNext w:val="0"/>
              <w:keepLines w:val="0"/>
              <w:widowControl/>
              <w:suppressLineNumbers w:val="0"/>
              <w:kinsoku w:val="0"/>
              <w:wordWrap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2"/>
                <w:sz w:val="24"/>
                <w:highlight w:val="none"/>
              </w:rPr>
              <w:object>
                <v:shape id="_x0000_i1031" o:spt="75" type="#_x0000_t75" style="height:18pt;width:10.45pt;" o:ole="t" filled="f" o:preferrelative="t" stroked="f" coordsize="21600,21600">
                  <v:path/>
                  <v:fill on="f" focussize="0,0"/>
                  <v:stroke on="f"/>
                  <v:imagedata r:id="rId30" o:title=""/>
                  <o:lock v:ext="edit" aspectratio="t"/>
                  <w10:wrap type="none"/>
                  <w10:anchorlock/>
                </v:shape>
                <o:OLEObject Type="Embed" ProgID="Equation.3" ShapeID="_x0000_i1031" DrawAspect="Content" ObjectID="_1468075731" r:id="rId29">
                  <o:LockedField>false</o:LockedField>
                </o:OLEObject>
              </w:object>
            </w:r>
            <w:r>
              <w:rPr>
                <w:rFonts w:hint="default" w:ascii="Times New Roman" w:hAnsi="Times New Roman" w:eastAsia="宋体" w:cs="Times New Roman"/>
                <w:color w:val="auto"/>
                <w:sz w:val="24"/>
                <w:highlight w:val="none"/>
              </w:rPr>
              <w:t>——墙外1m处至预测点的距离，参数距离为1m。</w:t>
            </w:r>
          </w:p>
          <w:p w14:paraId="1484FB58">
            <w:pPr>
              <w:keepNext w:val="0"/>
              <w:keepLines w:val="0"/>
              <w:widowControl/>
              <w:suppressLineNumbers w:val="0"/>
              <w:kinsoku w:val="0"/>
              <w:wordWrap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bookmarkStart w:id="5" w:name="_Toc18372_WPSOffice_Level3"/>
            <w:bookmarkStart w:id="6" w:name="_Toc4936_WPSOffice_Level3"/>
            <w:r>
              <w:rPr>
                <w:rFonts w:hint="default" w:ascii="Times New Roman" w:hAnsi="Times New Roman" w:eastAsia="宋体" w:cs="Times New Roman"/>
                <w:color w:val="auto"/>
                <w:sz w:val="24"/>
                <w:highlight w:val="none"/>
                <w:lang w:val="en-US" w:eastAsia="zh-CN"/>
              </w:rPr>
              <w:t>②</w:t>
            </w:r>
            <w:bookmarkEnd w:id="5"/>
            <w:r>
              <w:rPr>
                <w:rFonts w:hint="default" w:ascii="Times New Roman" w:hAnsi="Times New Roman" w:eastAsia="宋体" w:cs="Times New Roman"/>
                <w:color w:val="auto"/>
                <w:sz w:val="24"/>
                <w:highlight w:val="none"/>
              </w:rPr>
              <w:t>噪声贡献值计算</w:t>
            </w:r>
            <w:bookmarkEnd w:id="6"/>
          </w:p>
          <w:p w14:paraId="798CB3B9">
            <w:pPr>
              <w:keepNext w:val="0"/>
              <w:keepLines w:val="0"/>
              <w:widowControl/>
              <w:suppressLineNumbers w:val="0"/>
              <w:kinsoku w:val="0"/>
              <w:wordWrap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设第i个室外声源在预测点产生的A声级为</w:t>
            </w:r>
            <w:r>
              <w:rPr>
                <w:rFonts w:hint="default" w:ascii="Times New Roman" w:hAnsi="Times New Roman" w:eastAsia="宋体" w:cs="Times New Roman"/>
                <w:color w:val="auto"/>
                <w:position w:val="-12"/>
                <w:sz w:val="24"/>
                <w:highlight w:val="none"/>
              </w:rPr>
              <w:object>
                <v:shape id="_x0000_i1032" o:spt="75" type="#_x0000_t75" style="height:17.75pt;width:17.75pt;" o:ole="t" filled="f" o:preferrelative="t" stroked="f" coordsize="21600,21600">
                  <v:path/>
                  <v:fill on="f" focussize="0,0"/>
                  <v:stroke on="f"/>
                  <v:imagedata r:id="rId32" o:title=""/>
                  <o:lock v:ext="edit" aspectratio="t"/>
                  <w10:wrap type="none"/>
                  <w10:anchorlock/>
                </v:shape>
                <o:OLEObject Type="Embed" ProgID="Equation.3" ShapeID="_x0000_i1032" DrawAspect="Content" ObjectID="_1468075732" r:id="rId31">
                  <o:LockedField>false</o:LockedField>
                </o:OLEObject>
              </w:object>
            </w:r>
            <w:r>
              <w:rPr>
                <w:rFonts w:hint="default" w:ascii="Times New Roman" w:hAnsi="Times New Roman" w:eastAsia="宋体" w:cs="Times New Roman"/>
                <w:color w:val="auto"/>
                <w:sz w:val="24"/>
                <w:highlight w:val="none"/>
              </w:rPr>
              <w:t>，在T时间内该声源工作时间为</w:t>
            </w:r>
            <w:r>
              <w:rPr>
                <w:rFonts w:hint="default" w:ascii="Times New Roman" w:hAnsi="Times New Roman" w:eastAsia="宋体" w:cs="Times New Roman"/>
                <w:color w:val="auto"/>
                <w:position w:val="-12"/>
                <w:sz w:val="24"/>
                <w:highlight w:val="none"/>
              </w:rPr>
              <w:object>
                <v:shape id="_x0000_i1033" o:spt="75" type="#_x0000_t75" style="height:18.25pt;width:9.45pt;" o:ole="t" filled="f" o:preferrelative="t" stroked="f" coordsize="21600,21600">
                  <v:path/>
                  <v:fill on="f" focussize="0,0"/>
                  <v:stroke on="f"/>
                  <v:imagedata r:id="rId34" o:title=""/>
                  <o:lock v:ext="edit" aspectratio="t"/>
                  <w10:wrap type="none"/>
                  <w10:anchorlock/>
                </v:shape>
                <o:OLEObject Type="Embed" ProgID="Equation.3" ShapeID="_x0000_i1033" DrawAspect="Content" ObjectID="_1468075733" r:id="rId33">
                  <o:LockedField>false</o:LockedField>
                </o:OLEObject>
              </w:object>
            </w:r>
            <w:r>
              <w:rPr>
                <w:rFonts w:hint="default" w:ascii="Times New Roman" w:hAnsi="Times New Roman" w:eastAsia="宋体" w:cs="Times New Roman"/>
                <w:color w:val="auto"/>
                <w:sz w:val="24"/>
                <w:highlight w:val="none"/>
              </w:rPr>
              <w:t>；设第</w:t>
            </w:r>
            <w:r>
              <w:rPr>
                <w:rFonts w:hint="default" w:ascii="Times New Roman" w:hAnsi="Times New Roman" w:eastAsia="宋体" w:cs="Times New Roman"/>
                <w:color w:val="auto"/>
                <w:position w:val="-10"/>
                <w:sz w:val="24"/>
                <w:highlight w:val="none"/>
              </w:rPr>
              <w:object>
                <v:shape id="_x0000_i1034" o:spt="75" type="#_x0000_t75" style="height:15.15pt;width:10.45pt;" o:ole="t" filled="f" o:preferrelative="t" stroked="f" coordsize="21600,21600">
                  <v:path/>
                  <v:fill on="f" focussize="0,0"/>
                  <v:stroke on="f"/>
                  <v:imagedata r:id="rId36" o:title=""/>
                  <o:lock v:ext="edit" aspectratio="t"/>
                  <w10:wrap type="none"/>
                  <w10:anchorlock/>
                </v:shape>
                <o:OLEObject Type="Embed" ProgID="Equation.3" ShapeID="_x0000_i1034" DrawAspect="Content" ObjectID="_1468075734" r:id="rId35">
                  <o:LockedField>false</o:LockedField>
                </o:OLEObject>
              </w:object>
            </w:r>
            <w:r>
              <w:rPr>
                <w:rFonts w:hint="default" w:ascii="Times New Roman" w:hAnsi="Times New Roman" w:eastAsia="宋体" w:cs="Times New Roman"/>
                <w:color w:val="auto"/>
                <w:sz w:val="24"/>
                <w:highlight w:val="none"/>
              </w:rPr>
              <w:t>个等效室外声源在预测点产生的A声级为</w:t>
            </w:r>
            <w:r>
              <w:rPr>
                <w:rFonts w:hint="default" w:ascii="Times New Roman" w:hAnsi="Times New Roman" w:eastAsia="宋体" w:cs="Times New Roman"/>
                <w:color w:val="auto"/>
                <w:position w:val="-14"/>
                <w:sz w:val="24"/>
                <w:highlight w:val="none"/>
              </w:rPr>
              <w:object>
                <v:shape id="_x0000_i1035" o:spt="75" type="#_x0000_t75" style="height:18.8pt;width:17.75pt;" o:ole="t" filled="f" o:preferrelative="t" stroked="f" coordsize="21600,21600">
                  <v:path/>
                  <v:fill on="f" focussize="0,0"/>
                  <v:stroke on="f"/>
                  <v:imagedata r:id="rId38" o:title=""/>
                  <o:lock v:ext="edit" aspectratio="t"/>
                  <w10:wrap type="none"/>
                  <w10:anchorlock/>
                </v:shape>
                <o:OLEObject Type="Embed" ProgID="Equation.3" ShapeID="_x0000_i1035" DrawAspect="Content" ObjectID="_1468075735" r:id="rId37">
                  <o:LockedField>false</o:LockedField>
                </o:OLEObject>
              </w:object>
            </w:r>
            <w:r>
              <w:rPr>
                <w:rFonts w:hint="default" w:ascii="Times New Roman" w:hAnsi="Times New Roman" w:eastAsia="宋体" w:cs="Times New Roman"/>
                <w:color w:val="auto"/>
                <w:sz w:val="24"/>
                <w:highlight w:val="none"/>
              </w:rPr>
              <w:t>，在T时间内该声源工作时间为</w:t>
            </w:r>
            <w:r>
              <w:rPr>
                <w:rFonts w:hint="default" w:ascii="Times New Roman" w:hAnsi="Times New Roman" w:eastAsia="宋体" w:cs="Times New Roman"/>
                <w:color w:val="auto"/>
                <w:position w:val="-14"/>
                <w:sz w:val="24"/>
                <w:highlight w:val="none"/>
              </w:rPr>
              <w:object>
                <v:shape id="_x0000_i1036" o:spt="75" type="#_x0000_t75" style="height:18.8pt;width:11.5pt;" o:ole="t" filled="f" o:preferrelative="t" stroked="f" coordsize="21600,21600">
                  <v:path/>
                  <v:fill on="f" focussize="0,0"/>
                  <v:stroke on="f"/>
                  <v:imagedata r:id="rId40" o:title=""/>
                  <o:lock v:ext="edit" aspectratio="t"/>
                  <w10:wrap type="none"/>
                  <w10:anchorlock/>
                </v:shape>
                <o:OLEObject Type="Embed" ProgID="Equation.3" ShapeID="_x0000_i1036" DrawAspect="Content" ObjectID="_1468075736" r:id="rId39">
                  <o:LockedField>false</o:LockedField>
                </o:OLEObject>
              </w:object>
            </w:r>
            <w:r>
              <w:rPr>
                <w:rFonts w:hint="default" w:ascii="Times New Roman" w:hAnsi="Times New Roman" w:eastAsia="宋体" w:cs="Times New Roman"/>
                <w:color w:val="auto"/>
                <w:sz w:val="24"/>
                <w:highlight w:val="none"/>
              </w:rPr>
              <w:t>。则拟建工程声源对预测点产生的贡献值（</w:t>
            </w:r>
            <w:r>
              <w:rPr>
                <w:rFonts w:hint="default" w:ascii="Times New Roman" w:hAnsi="Times New Roman" w:eastAsia="宋体" w:cs="Times New Roman"/>
                <w:color w:val="auto"/>
                <w:position w:val="-14"/>
                <w:sz w:val="24"/>
                <w:highlight w:val="none"/>
              </w:rPr>
              <w:object>
                <v:shape id="_x0000_i1037" o:spt="75" type="#_x0000_t75" style="height:18.8pt;width:20.4pt;" o:ole="t" filled="f" o:preferrelative="t" stroked="f" coordsize="21600,21600">
                  <v:path/>
                  <v:fill on="f" focussize="0,0"/>
                  <v:stroke on="f"/>
                  <v:imagedata r:id="rId42" o:title=""/>
                  <o:lock v:ext="edit" aspectratio="t"/>
                  <w10:wrap type="none"/>
                  <w10:anchorlock/>
                </v:shape>
                <o:OLEObject Type="Embed" ProgID="Equation.3" ShapeID="_x0000_i1037" DrawAspect="Content" ObjectID="_1468075737" r:id="rId41">
                  <o:LockedField>false</o:LockedField>
                </o:OLEObject>
              </w:object>
            </w:r>
            <w:r>
              <w:rPr>
                <w:rFonts w:hint="default" w:ascii="Times New Roman" w:hAnsi="Times New Roman" w:eastAsia="宋体" w:cs="Times New Roman"/>
                <w:color w:val="auto"/>
                <w:sz w:val="24"/>
                <w:highlight w:val="none"/>
              </w:rPr>
              <w:t xml:space="preserve">）为： </w:t>
            </w:r>
          </w:p>
          <w:p w14:paraId="6CF4AFDF">
            <w:pPr>
              <w:keepNext w:val="0"/>
              <w:keepLines w:val="0"/>
              <w:widowControl/>
              <w:suppressLineNumbers w:val="0"/>
              <w:tabs>
                <w:tab w:val="left" w:pos="1783"/>
                <w:tab w:val="right" w:pos="8442"/>
              </w:tabs>
              <w:kinsoku w:val="0"/>
              <w:wordWrap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pict>
                <v:shape id="Object 3" o:spid="_x0000_s2207" o:spt="75" type="#_x0000_t75" style="position:absolute;left:0pt;margin-left:101.6pt;margin-top:6.85pt;height:39.4pt;width:216.65pt;mso-wrap-distance-bottom:0pt;mso-wrap-distance-top:0pt;z-index:251661312;mso-width-relative:page;mso-height-relative:page;" o:ole="t" filled="f" o:preferrelative="t" stroked="f" coordsize="21600,21600">
                  <v:path/>
                  <v:fill on="f" focussize="0,0"/>
                  <v:stroke on="f"/>
                  <v:imagedata r:id="rId44" o:title=""/>
                  <o:lock v:ext="edit" aspectratio="t"/>
                  <w10:wrap type="topAndBottom"/>
                </v:shape>
                <o:OLEObject Type="Embed" ProgID="" ShapeID="Object 3" DrawAspect="Content" ObjectID="_1468075738" r:id="rId43">
                  <o:LockedField>false</o:LockedField>
                </o:OLEObject>
              </w:pict>
            </w: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position w:val="-4"/>
                <w:sz w:val="24"/>
                <w:highlight w:val="none"/>
              </w:rPr>
              <w:object>
                <v:shape id="_x0000_i1038" o:spt="75" type="#_x0000_t75" style="height:12.55pt;width:10.6pt;" o:ole="t" filled="f" o:preferrelative="t" stroked="f" coordsize="21600,21600">
                  <v:path/>
                  <v:fill on="f" focussize="0,0"/>
                  <v:stroke on="f"/>
                  <v:imagedata r:id="rId46" o:title=""/>
                  <o:lock v:ext="edit" aspectratio="t"/>
                  <w10:wrap type="none"/>
                  <w10:anchorlock/>
                </v:shape>
                <o:OLEObject Type="Embed" ProgID="Equation.KSEE3" ShapeID="_x0000_i1038" DrawAspect="Content" ObjectID="_1468075739" r:id="rId45">
                  <o:LockedField>false</o:LockedField>
                </o:OLEObject>
              </w:object>
            </w:r>
            <w:r>
              <w:rPr>
                <w:rFonts w:hint="default" w:ascii="Times New Roman" w:hAnsi="Times New Roman" w:eastAsia="宋体" w:cs="Times New Roman"/>
                <w:color w:val="auto"/>
                <w:sz w:val="24"/>
                <w:highlight w:val="none"/>
              </w:rPr>
              <w:t xml:space="preserve">——用于计算等效声级的时间； </w:t>
            </w:r>
          </w:p>
          <w:p w14:paraId="6D11F1AD">
            <w:pPr>
              <w:keepNext w:val="0"/>
              <w:keepLines w:val="0"/>
              <w:widowControl/>
              <w:suppressLineNumbers w:val="0"/>
              <w:kinsoku w:val="0"/>
              <w:wordWrap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2"/>
                <w:sz w:val="24"/>
                <w:highlight w:val="none"/>
              </w:rPr>
              <w:object>
                <v:shape id="_x0000_i1039" o:spt="75" type="#_x0000_t75" style="height:17.35pt;width:8.95pt;" o:ole="t" filled="f" o:preferrelative="t" stroked="f" coordsize="21600,21600">
                  <v:path/>
                  <v:fill on="f" focussize="0,0"/>
                  <v:stroke on="f"/>
                  <v:imagedata r:id="rId34" o:title=""/>
                  <o:lock v:ext="edit" aspectratio="t"/>
                  <w10:wrap type="none"/>
                  <w10:anchorlock/>
                </v:shape>
                <o:OLEObject Type="Embed" ProgID="Equation.3" ShapeID="_x0000_i1039" DrawAspect="Content" ObjectID="_1468075740" r:id="rId47">
                  <o:LockedField>false</o:LockedField>
                </o:OLEObject>
              </w:object>
            </w:r>
            <w:r>
              <w:rPr>
                <w:rFonts w:hint="default" w:ascii="Times New Roman" w:hAnsi="Times New Roman" w:eastAsia="宋体" w:cs="Times New Roman"/>
                <w:color w:val="auto"/>
                <w:sz w:val="24"/>
                <w:highlight w:val="none"/>
              </w:rPr>
              <w:t>——在T时间内i声源工作时间；</w:t>
            </w:r>
          </w:p>
          <w:p w14:paraId="05105B8D">
            <w:pPr>
              <w:keepNext w:val="0"/>
              <w:keepLines w:val="0"/>
              <w:widowControl/>
              <w:suppressLineNumbers w:val="0"/>
              <w:kinsoku w:val="0"/>
              <w:wordWrap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40" o:spt="75" type="#_x0000_t75" style="height:17.4pt;width:10.65pt;" o:ole="t" filled="f" o:preferrelative="t" stroked="f" coordsize="21600,21600">
                  <v:path/>
                  <v:fill on="f" focussize="0,0"/>
                  <v:stroke on="f"/>
                  <v:imagedata r:id="rId40" o:title=""/>
                  <o:lock v:ext="edit" aspectratio="t"/>
                  <w10:wrap type="none"/>
                  <w10:anchorlock/>
                </v:shape>
                <o:OLEObject Type="Embed" ProgID="Equation.3" ShapeID="_x0000_i1040" DrawAspect="Content" ObjectID="_1468075741" r:id="rId48">
                  <o:LockedField>false</o:LockedField>
                </o:OLEObject>
              </w:object>
            </w:r>
            <w:r>
              <w:rPr>
                <w:rFonts w:hint="default" w:ascii="Times New Roman" w:hAnsi="Times New Roman" w:eastAsia="宋体" w:cs="Times New Roman"/>
                <w:color w:val="auto"/>
                <w:sz w:val="24"/>
                <w:highlight w:val="none"/>
              </w:rPr>
              <w:t>——在T时间内j声源工作时间；</w:t>
            </w:r>
          </w:p>
          <w:p w14:paraId="020EF351">
            <w:pPr>
              <w:keepNext w:val="0"/>
              <w:keepLines w:val="0"/>
              <w:widowControl/>
              <w:suppressLineNumbers w:val="0"/>
              <w:kinsoku w:val="0"/>
              <w:wordWrap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6"/>
                <w:sz w:val="24"/>
                <w:highlight w:val="none"/>
              </w:rPr>
              <w:object>
                <v:shape id="_x0000_i1041" o:spt="75" type="#_x0000_t75" style="height:12.7pt;width:12.7pt;" o:ole="t" filled="f" o:preferrelative="t" stroked="f" coordsize="21600,21600">
                  <v:path/>
                  <v:fill on="f" focussize="0,0"/>
                  <v:stroke on="f"/>
                  <v:imagedata r:id="rId50" o:title=""/>
                  <o:lock v:ext="edit" aspectratio="t"/>
                  <w10:wrap type="none"/>
                  <w10:anchorlock/>
                </v:shape>
                <o:OLEObject Type="Embed" ProgID="Equation.KSEE3" ShapeID="_x0000_i1041" DrawAspect="Content" ObjectID="_1468075742" r:id="rId49">
                  <o:LockedField>false</o:LockedField>
                </o:OLEObject>
              </w:object>
            </w:r>
            <w:r>
              <w:rPr>
                <w:rFonts w:hint="default" w:ascii="Times New Roman" w:hAnsi="Times New Roman" w:eastAsia="宋体" w:cs="Times New Roman"/>
                <w:color w:val="auto"/>
                <w:sz w:val="24"/>
                <w:highlight w:val="none"/>
              </w:rPr>
              <w:t>——室外声源个数；</w:t>
            </w:r>
          </w:p>
          <w:p w14:paraId="3BB27A32">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position w:val="-4"/>
                <w:sz w:val="24"/>
                <w:highlight w:val="none"/>
              </w:rPr>
              <w:object>
                <v:shape id="_x0000_i1042" o:spt="75" type="#_x0000_t75" style="height:11.9pt;width:14.65pt;" o:ole="t" filled="f" o:preferrelative="t" stroked="f" coordsize="21600,21600">
                  <v:path/>
                  <v:fill on="f" focussize="0,0"/>
                  <v:stroke on="f"/>
                  <v:imagedata r:id="rId52" o:title=""/>
                  <o:lock v:ext="edit" aspectratio="t"/>
                  <w10:wrap type="none"/>
                  <w10:anchorlock/>
                </v:shape>
                <o:OLEObject Type="Embed" ProgID="Equation.KSEE3" ShapeID="_x0000_i1042" DrawAspect="Content" ObjectID="_1468075743" r:id="rId51">
                  <o:LockedField>false</o:LockedField>
                </o:OLEObject>
              </w:object>
            </w:r>
            <w:r>
              <w:rPr>
                <w:rFonts w:hint="default" w:ascii="Times New Roman" w:hAnsi="Times New Roman" w:eastAsia="宋体" w:cs="Times New Roman"/>
                <w:color w:val="auto"/>
                <w:sz w:val="24"/>
                <w:highlight w:val="none"/>
              </w:rPr>
              <w:t>——等效室外声源个数。</w:t>
            </w:r>
          </w:p>
          <w:p w14:paraId="6A3E88E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（3）预测</w:t>
            </w:r>
            <w:r>
              <w:rPr>
                <w:rFonts w:hint="default" w:ascii="Times New Roman" w:hAnsi="Times New Roman" w:eastAsia="宋体" w:cs="Times New Roman"/>
                <w:b w:val="0"/>
                <w:bCs w:val="0"/>
                <w:color w:val="auto"/>
                <w:sz w:val="24"/>
                <w:highlight w:val="none"/>
              </w:rPr>
              <w:t>结果</w:t>
            </w:r>
          </w:p>
          <w:p w14:paraId="2E4B03A5">
            <w:pPr>
              <w:pStyle w:val="50"/>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ascii="Times New Roman" w:hAnsi="Times New Roman"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 xml:space="preserve">  厂界噪声</w:t>
            </w:r>
            <w:r>
              <w:rPr>
                <w:rFonts w:hint="default" w:ascii="Times New Roman" w:hAnsi="Times New Roman" w:eastAsia="宋体" w:cs="Times New Roman"/>
                <w:b/>
                <w:bCs/>
                <w:color w:val="auto"/>
                <w:sz w:val="21"/>
                <w:szCs w:val="21"/>
                <w:highlight w:val="none"/>
                <w:lang w:val="en-US" w:eastAsia="zh-CN"/>
              </w:rPr>
              <w:t>影响贡献</w:t>
            </w:r>
            <w:r>
              <w:rPr>
                <w:rFonts w:hint="default" w:ascii="Times New Roman" w:hAnsi="Times New Roman" w:eastAsia="宋体" w:cs="Times New Roman"/>
                <w:b/>
                <w:bCs/>
                <w:color w:val="auto"/>
                <w:sz w:val="21"/>
                <w:szCs w:val="21"/>
                <w:highlight w:val="none"/>
              </w:rPr>
              <w:t>结果  单位：dB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bl>
            <w:tblPr>
              <w:tblStyle w:val="10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91"/>
              <w:gridCol w:w="1285"/>
              <w:gridCol w:w="683"/>
              <w:gridCol w:w="588"/>
              <w:gridCol w:w="540"/>
              <w:gridCol w:w="556"/>
              <w:gridCol w:w="537"/>
              <w:gridCol w:w="561"/>
              <w:gridCol w:w="681"/>
              <w:gridCol w:w="672"/>
              <w:gridCol w:w="723"/>
              <w:gridCol w:w="701"/>
            </w:tblGrid>
            <w:tr w14:paraId="66F1DD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058" w:type="pct"/>
                  <w:gridSpan w:val="2"/>
                  <w:vMerge w:val="restart"/>
                  <w:tcBorders>
                    <w:tl2br w:val="nil"/>
                    <w:tr2bl w:val="nil"/>
                  </w:tcBorders>
                  <w:vAlign w:val="center"/>
                </w:tcPr>
                <w:p w14:paraId="6F3A94D9">
                  <w:pPr>
                    <w:pStyle w:val="104"/>
                    <w:spacing w:before="227" w:line="229" w:lineRule="auto"/>
                    <w:ind w:left="694"/>
                    <w:rPr>
                      <w:color w:val="auto"/>
                      <w:sz w:val="21"/>
                      <w:szCs w:val="21"/>
                      <w:highlight w:val="none"/>
                    </w:rPr>
                  </w:pPr>
                  <w:r>
                    <w:rPr>
                      <w:color w:val="auto"/>
                      <w:spacing w:val="4"/>
                      <w:sz w:val="21"/>
                      <w:szCs w:val="21"/>
                      <w:highlight w:val="none"/>
                    </w:rPr>
                    <w:t>位置</w:t>
                  </w:r>
                </w:p>
              </w:tc>
              <w:tc>
                <w:tcPr>
                  <w:tcW w:w="802" w:type="pct"/>
                  <w:gridSpan w:val="2"/>
                  <w:tcBorders>
                    <w:tl2br w:val="nil"/>
                    <w:tr2bl w:val="nil"/>
                  </w:tcBorders>
                  <w:vAlign w:val="center"/>
                </w:tcPr>
                <w:p w14:paraId="5AC5315D">
                  <w:pPr>
                    <w:pStyle w:val="104"/>
                    <w:spacing w:before="226" w:line="228" w:lineRule="auto"/>
                    <w:ind w:left="381"/>
                    <w:rPr>
                      <w:color w:val="auto"/>
                      <w:spacing w:val="6"/>
                      <w:sz w:val="21"/>
                      <w:szCs w:val="21"/>
                      <w:highlight w:val="none"/>
                    </w:rPr>
                  </w:pPr>
                  <w:r>
                    <w:rPr>
                      <w:color w:val="auto"/>
                      <w:spacing w:val="6"/>
                      <w:sz w:val="21"/>
                      <w:szCs w:val="21"/>
                      <w:highlight w:val="none"/>
                    </w:rPr>
                    <w:t>贡献值</w:t>
                  </w:r>
                </w:p>
              </w:tc>
              <w:tc>
                <w:tcPr>
                  <w:tcW w:w="692" w:type="pct"/>
                  <w:gridSpan w:val="2"/>
                  <w:tcBorders>
                    <w:tl2br w:val="nil"/>
                    <w:tr2bl w:val="nil"/>
                  </w:tcBorders>
                  <w:vAlign w:val="center"/>
                </w:tcPr>
                <w:p w14:paraId="307D39C3">
                  <w:pPr>
                    <w:pStyle w:val="104"/>
                    <w:spacing w:before="226" w:line="228" w:lineRule="auto"/>
                    <w:ind w:left="296"/>
                    <w:rPr>
                      <w:color w:val="auto"/>
                      <w:sz w:val="21"/>
                      <w:szCs w:val="21"/>
                      <w:highlight w:val="none"/>
                    </w:rPr>
                  </w:pPr>
                  <w:r>
                    <w:rPr>
                      <w:color w:val="auto"/>
                      <w:spacing w:val="5"/>
                      <w:sz w:val="21"/>
                      <w:szCs w:val="21"/>
                      <w:highlight w:val="none"/>
                    </w:rPr>
                    <w:t>背景值</w:t>
                  </w:r>
                </w:p>
              </w:tc>
              <w:tc>
                <w:tcPr>
                  <w:tcW w:w="693" w:type="pct"/>
                  <w:gridSpan w:val="2"/>
                  <w:tcBorders>
                    <w:tl2br w:val="nil"/>
                    <w:tr2bl w:val="nil"/>
                  </w:tcBorders>
                  <w:vAlign w:val="center"/>
                </w:tcPr>
                <w:p w14:paraId="444D6C26">
                  <w:pPr>
                    <w:pStyle w:val="104"/>
                    <w:spacing w:before="226" w:line="228" w:lineRule="auto"/>
                    <w:ind w:left="296"/>
                    <w:rPr>
                      <w:color w:val="auto"/>
                      <w:spacing w:val="6"/>
                      <w:sz w:val="21"/>
                      <w:szCs w:val="21"/>
                      <w:highlight w:val="none"/>
                    </w:rPr>
                  </w:pPr>
                  <w:r>
                    <w:rPr>
                      <w:color w:val="auto"/>
                      <w:spacing w:val="6"/>
                      <w:sz w:val="21"/>
                      <w:szCs w:val="21"/>
                      <w:highlight w:val="none"/>
                    </w:rPr>
                    <w:t>预测值</w:t>
                  </w:r>
                </w:p>
              </w:tc>
              <w:tc>
                <w:tcPr>
                  <w:tcW w:w="854" w:type="pct"/>
                  <w:gridSpan w:val="2"/>
                  <w:tcBorders>
                    <w:tl2br w:val="nil"/>
                    <w:tr2bl w:val="nil"/>
                  </w:tcBorders>
                  <w:vAlign w:val="center"/>
                </w:tcPr>
                <w:p w14:paraId="589D85D5">
                  <w:pPr>
                    <w:pStyle w:val="104"/>
                    <w:spacing w:before="66" w:line="228" w:lineRule="auto"/>
                    <w:ind w:left="490"/>
                    <w:rPr>
                      <w:color w:val="auto"/>
                      <w:sz w:val="21"/>
                      <w:szCs w:val="21"/>
                      <w:highlight w:val="none"/>
                    </w:rPr>
                  </w:pPr>
                  <w:r>
                    <w:rPr>
                      <w:color w:val="auto"/>
                      <w:spacing w:val="4"/>
                      <w:sz w:val="21"/>
                      <w:szCs w:val="21"/>
                      <w:highlight w:val="none"/>
                    </w:rPr>
                    <w:t>标准</w:t>
                  </w:r>
                </w:p>
              </w:tc>
              <w:tc>
                <w:tcPr>
                  <w:tcW w:w="898" w:type="pct"/>
                  <w:gridSpan w:val="2"/>
                  <w:tcBorders>
                    <w:tl2br w:val="nil"/>
                    <w:tr2bl w:val="nil"/>
                  </w:tcBorders>
                  <w:vAlign w:val="center"/>
                </w:tcPr>
                <w:p w14:paraId="33733C29">
                  <w:pPr>
                    <w:pStyle w:val="104"/>
                    <w:spacing w:before="66" w:line="228" w:lineRule="auto"/>
                    <w:ind w:left="294"/>
                    <w:rPr>
                      <w:color w:val="auto"/>
                      <w:sz w:val="21"/>
                      <w:szCs w:val="21"/>
                      <w:highlight w:val="none"/>
                    </w:rPr>
                  </w:pPr>
                  <w:r>
                    <w:rPr>
                      <w:color w:val="auto"/>
                      <w:spacing w:val="7"/>
                      <w:sz w:val="21"/>
                      <w:szCs w:val="21"/>
                      <w:highlight w:val="none"/>
                    </w:rPr>
                    <w:t>达标情况</w:t>
                  </w:r>
                </w:p>
              </w:tc>
            </w:tr>
            <w:tr w14:paraId="4A1793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058" w:type="pct"/>
                  <w:gridSpan w:val="2"/>
                  <w:vMerge w:val="continue"/>
                  <w:tcBorders>
                    <w:tl2br w:val="nil"/>
                    <w:tr2bl w:val="nil"/>
                  </w:tcBorders>
                  <w:vAlign w:val="center"/>
                </w:tcPr>
                <w:p w14:paraId="2EB30644">
                  <w:pPr>
                    <w:rPr>
                      <w:rFonts w:ascii="Arial"/>
                      <w:color w:val="auto"/>
                      <w:sz w:val="21"/>
                      <w:szCs w:val="21"/>
                      <w:highlight w:val="none"/>
                    </w:rPr>
                  </w:pPr>
                </w:p>
              </w:tc>
              <w:tc>
                <w:tcPr>
                  <w:tcW w:w="431" w:type="pct"/>
                  <w:tcBorders>
                    <w:tl2br w:val="nil"/>
                    <w:tr2bl w:val="nil"/>
                  </w:tcBorders>
                  <w:vAlign w:val="center"/>
                </w:tcPr>
                <w:p w14:paraId="3A687DC7">
                  <w:pPr>
                    <w:jc w:val="center"/>
                    <w:rPr>
                      <w:rFonts w:hint="eastAsia" w:ascii="Arial" w:eastAsia="宋体"/>
                      <w:color w:val="auto"/>
                      <w:sz w:val="21"/>
                      <w:szCs w:val="21"/>
                      <w:highlight w:val="none"/>
                      <w:lang w:val="en-US" w:eastAsia="zh-CN"/>
                    </w:rPr>
                  </w:pPr>
                  <w:r>
                    <w:rPr>
                      <w:rFonts w:hint="eastAsia" w:ascii="Arial"/>
                      <w:color w:val="auto"/>
                      <w:sz w:val="21"/>
                      <w:szCs w:val="21"/>
                      <w:highlight w:val="none"/>
                      <w:lang w:val="en-US" w:eastAsia="zh-CN"/>
                    </w:rPr>
                    <w:t>昼间</w:t>
                  </w:r>
                </w:p>
              </w:tc>
              <w:tc>
                <w:tcPr>
                  <w:tcW w:w="370" w:type="pct"/>
                  <w:tcBorders>
                    <w:tl2br w:val="nil"/>
                    <w:tr2bl w:val="nil"/>
                  </w:tcBorders>
                  <w:vAlign w:val="center"/>
                </w:tcPr>
                <w:p w14:paraId="2C9026D8">
                  <w:pPr>
                    <w:jc w:val="center"/>
                    <w:rPr>
                      <w:rFonts w:hint="eastAsia" w:ascii="Arial" w:eastAsia="宋体"/>
                      <w:color w:val="auto"/>
                      <w:sz w:val="21"/>
                      <w:szCs w:val="21"/>
                      <w:highlight w:val="none"/>
                      <w:lang w:val="en-US" w:eastAsia="zh-CN"/>
                    </w:rPr>
                  </w:pPr>
                  <w:r>
                    <w:rPr>
                      <w:rFonts w:hint="eastAsia" w:ascii="Arial"/>
                      <w:color w:val="auto"/>
                      <w:sz w:val="21"/>
                      <w:szCs w:val="21"/>
                      <w:highlight w:val="none"/>
                      <w:lang w:val="en-US" w:eastAsia="zh-CN"/>
                    </w:rPr>
                    <w:t>夜间</w:t>
                  </w:r>
                </w:p>
              </w:tc>
              <w:tc>
                <w:tcPr>
                  <w:tcW w:w="341" w:type="pct"/>
                  <w:tcBorders>
                    <w:tl2br w:val="nil"/>
                    <w:tr2bl w:val="nil"/>
                  </w:tcBorders>
                  <w:vAlign w:val="center"/>
                </w:tcPr>
                <w:p w14:paraId="436C8DE1">
                  <w:pPr>
                    <w:jc w:val="center"/>
                    <w:rPr>
                      <w:rFonts w:ascii="Arial"/>
                      <w:color w:val="auto"/>
                      <w:sz w:val="21"/>
                      <w:szCs w:val="21"/>
                      <w:highlight w:val="none"/>
                    </w:rPr>
                  </w:pPr>
                  <w:r>
                    <w:rPr>
                      <w:rFonts w:hint="eastAsia" w:ascii="Arial"/>
                      <w:color w:val="auto"/>
                      <w:sz w:val="21"/>
                      <w:szCs w:val="21"/>
                      <w:highlight w:val="none"/>
                      <w:lang w:val="en-US" w:eastAsia="zh-CN"/>
                    </w:rPr>
                    <w:t>昼间</w:t>
                  </w:r>
                </w:p>
              </w:tc>
              <w:tc>
                <w:tcPr>
                  <w:tcW w:w="351" w:type="pct"/>
                  <w:tcBorders>
                    <w:tl2br w:val="nil"/>
                    <w:tr2bl w:val="nil"/>
                  </w:tcBorders>
                  <w:vAlign w:val="center"/>
                </w:tcPr>
                <w:p w14:paraId="10B480DA">
                  <w:pPr>
                    <w:jc w:val="center"/>
                    <w:rPr>
                      <w:rFonts w:ascii="Arial"/>
                      <w:color w:val="auto"/>
                      <w:sz w:val="21"/>
                      <w:szCs w:val="21"/>
                      <w:highlight w:val="none"/>
                    </w:rPr>
                  </w:pPr>
                  <w:r>
                    <w:rPr>
                      <w:rFonts w:hint="eastAsia" w:ascii="Arial"/>
                      <w:color w:val="auto"/>
                      <w:sz w:val="21"/>
                      <w:szCs w:val="21"/>
                      <w:highlight w:val="none"/>
                      <w:lang w:val="en-US" w:eastAsia="zh-CN"/>
                    </w:rPr>
                    <w:t>夜间</w:t>
                  </w:r>
                </w:p>
              </w:tc>
              <w:tc>
                <w:tcPr>
                  <w:tcW w:w="339" w:type="pct"/>
                  <w:tcBorders>
                    <w:tl2br w:val="nil"/>
                    <w:tr2bl w:val="nil"/>
                  </w:tcBorders>
                  <w:vAlign w:val="center"/>
                </w:tcPr>
                <w:p w14:paraId="1999E435">
                  <w:pPr>
                    <w:jc w:val="center"/>
                    <w:rPr>
                      <w:rFonts w:ascii="Arial"/>
                      <w:color w:val="auto"/>
                      <w:sz w:val="21"/>
                      <w:szCs w:val="21"/>
                      <w:highlight w:val="none"/>
                    </w:rPr>
                  </w:pPr>
                  <w:r>
                    <w:rPr>
                      <w:rFonts w:hint="eastAsia" w:ascii="Arial"/>
                      <w:color w:val="auto"/>
                      <w:sz w:val="21"/>
                      <w:szCs w:val="21"/>
                      <w:highlight w:val="none"/>
                      <w:lang w:val="en-US" w:eastAsia="zh-CN"/>
                    </w:rPr>
                    <w:t>昼间</w:t>
                  </w:r>
                </w:p>
              </w:tc>
              <w:tc>
                <w:tcPr>
                  <w:tcW w:w="354" w:type="pct"/>
                  <w:tcBorders>
                    <w:tl2br w:val="nil"/>
                    <w:tr2bl w:val="nil"/>
                  </w:tcBorders>
                  <w:vAlign w:val="center"/>
                </w:tcPr>
                <w:p w14:paraId="55E9C7A2">
                  <w:pPr>
                    <w:jc w:val="center"/>
                    <w:rPr>
                      <w:rFonts w:ascii="Arial"/>
                      <w:color w:val="auto"/>
                      <w:sz w:val="21"/>
                      <w:szCs w:val="21"/>
                      <w:highlight w:val="none"/>
                    </w:rPr>
                  </w:pPr>
                  <w:r>
                    <w:rPr>
                      <w:rFonts w:hint="eastAsia" w:ascii="Arial"/>
                      <w:color w:val="auto"/>
                      <w:sz w:val="21"/>
                      <w:szCs w:val="21"/>
                      <w:highlight w:val="none"/>
                      <w:lang w:val="en-US" w:eastAsia="zh-CN"/>
                    </w:rPr>
                    <w:t>夜间</w:t>
                  </w:r>
                </w:p>
              </w:tc>
              <w:tc>
                <w:tcPr>
                  <w:tcW w:w="430" w:type="pct"/>
                  <w:tcBorders>
                    <w:tl2br w:val="nil"/>
                    <w:tr2bl w:val="nil"/>
                  </w:tcBorders>
                  <w:vAlign w:val="center"/>
                </w:tcPr>
                <w:p w14:paraId="3C7B50FE">
                  <w:pPr>
                    <w:pStyle w:val="104"/>
                    <w:spacing w:before="65" w:line="225" w:lineRule="auto"/>
                    <w:ind w:left="164"/>
                    <w:rPr>
                      <w:color w:val="auto"/>
                      <w:sz w:val="21"/>
                      <w:szCs w:val="21"/>
                      <w:highlight w:val="none"/>
                    </w:rPr>
                  </w:pPr>
                  <w:r>
                    <w:rPr>
                      <w:color w:val="auto"/>
                      <w:spacing w:val="5"/>
                      <w:sz w:val="21"/>
                      <w:szCs w:val="21"/>
                      <w:highlight w:val="none"/>
                    </w:rPr>
                    <w:t>昼间</w:t>
                  </w:r>
                </w:p>
              </w:tc>
              <w:tc>
                <w:tcPr>
                  <w:tcW w:w="424" w:type="pct"/>
                  <w:tcBorders>
                    <w:tl2br w:val="nil"/>
                    <w:tr2bl w:val="nil"/>
                  </w:tcBorders>
                  <w:vAlign w:val="center"/>
                </w:tcPr>
                <w:p w14:paraId="15FDC5B2">
                  <w:pPr>
                    <w:pStyle w:val="104"/>
                    <w:spacing w:before="65" w:line="225" w:lineRule="auto"/>
                    <w:ind w:left="156"/>
                    <w:rPr>
                      <w:color w:val="auto"/>
                      <w:sz w:val="21"/>
                      <w:szCs w:val="21"/>
                      <w:highlight w:val="none"/>
                    </w:rPr>
                  </w:pPr>
                  <w:r>
                    <w:rPr>
                      <w:color w:val="auto"/>
                      <w:spacing w:val="3"/>
                      <w:sz w:val="21"/>
                      <w:szCs w:val="21"/>
                      <w:highlight w:val="none"/>
                    </w:rPr>
                    <w:t>夜间</w:t>
                  </w:r>
                </w:p>
              </w:tc>
              <w:tc>
                <w:tcPr>
                  <w:tcW w:w="456" w:type="pct"/>
                  <w:tcBorders>
                    <w:tl2br w:val="nil"/>
                    <w:tr2bl w:val="nil"/>
                  </w:tcBorders>
                  <w:vAlign w:val="center"/>
                </w:tcPr>
                <w:p w14:paraId="243219F0">
                  <w:pPr>
                    <w:pStyle w:val="104"/>
                    <w:spacing w:before="65" w:line="225" w:lineRule="auto"/>
                    <w:ind w:left="169"/>
                    <w:rPr>
                      <w:color w:val="auto"/>
                      <w:sz w:val="21"/>
                      <w:szCs w:val="21"/>
                      <w:highlight w:val="none"/>
                    </w:rPr>
                  </w:pPr>
                  <w:r>
                    <w:rPr>
                      <w:color w:val="auto"/>
                      <w:spacing w:val="5"/>
                      <w:sz w:val="21"/>
                      <w:szCs w:val="21"/>
                      <w:highlight w:val="none"/>
                    </w:rPr>
                    <w:t>昼间</w:t>
                  </w:r>
                </w:p>
              </w:tc>
              <w:tc>
                <w:tcPr>
                  <w:tcW w:w="441" w:type="pct"/>
                  <w:tcBorders>
                    <w:tl2br w:val="nil"/>
                    <w:tr2bl w:val="nil"/>
                  </w:tcBorders>
                  <w:vAlign w:val="center"/>
                </w:tcPr>
                <w:p w14:paraId="39D1B443">
                  <w:pPr>
                    <w:pStyle w:val="104"/>
                    <w:spacing w:before="65" w:line="225" w:lineRule="auto"/>
                    <w:ind w:left="152"/>
                    <w:rPr>
                      <w:color w:val="auto"/>
                      <w:sz w:val="21"/>
                      <w:szCs w:val="21"/>
                      <w:highlight w:val="none"/>
                    </w:rPr>
                  </w:pPr>
                  <w:r>
                    <w:rPr>
                      <w:color w:val="auto"/>
                      <w:spacing w:val="3"/>
                      <w:sz w:val="21"/>
                      <w:szCs w:val="21"/>
                      <w:highlight w:val="none"/>
                    </w:rPr>
                    <w:t>夜间</w:t>
                  </w:r>
                </w:p>
              </w:tc>
            </w:tr>
            <w:tr w14:paraId="39B30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247" w:type="pct"/>
                  <w:vMerge w:val="restart"/>
                  <w:tcBorders>
                    <w:tl2br w:val="nil"/>
                    <w:tr2bl w:val="nil"/>
                  </w:tcBorders>
                  <w:textDirection w:val="tbRlV"/>
                  <w:vAlign w:val="center"/>
                </w:tcPr>
                <w:p w14:paraId="7B0D5765">
                  <w:pPr>
                    <w:pStyle w:val="104"/>
                    <w:spacing w:line="187" w:lineRule="auto"/>
                    <w:ind w:left="454"/>
                    <w:rPr>
                      <w:color w:val="auto"/>
                      <w:sz w:val="21"/>
                      <w:szCs w:val="21"/>
                      <w:highlight w:val="none"/>
                    </w:rPr>
                  </w:pPr>
                  <w:r>
                    <w:rPr>
                      <w:color w:val="auto"/>
                      <w:spacing w:val="8"/>
                      <w:sz w:val="21"/>
                      <w:szCs w:val="21"/>
                      <w:highlight w:val="none"/>
                    </w:rPr>
                    <w:t>厂</w:t>
                  </w:r>
                  <w:r>
                    <w:rPr>
                      <w:color w:val="auto"/>
                      <w:spacing w:val="-38"/>
                      <w:sz w:val="21"/>
                      <w:szCs w:val="21"/>
                      <w:highlight w:val="none"/>
                    </w:rPr>
                    <w:t xml:space="preserve"> </w:t>
                  </w:r>
                  <w:r>
                    <w:rPr>
                      <w:color w:val="auto"/>
                      <w:spacing w:val="8"/>
                      <w:sz w:val="21"/>
                      <w:szCs w:val="21"/>
                      <w:highlight w:val="none"/>
                    </w:rPr>
                    <w:t>界</w:t>
                  </w:r>
                </w:p>
              </w:tc>
              <w:tc>
                <w:tcPr>
                  <w:tcW w:w="811" w:type="pct"/>
                  <w:tcBorders>
                    <w:tl2br w:val="nil"/>
                    <w:tr2bl w:val="nil"/>
                  </w:tcBorders>
                  <w:vAlign w:val="center"/>
                </w:tcPr>
                <w:p w14:paraId="30BAA26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东厂界</w:t>
                  </w:r>
                </w:p>
              </w:tc>
              <w:tc>
                <w:tcPr>
                  <w:tcW w:w="431" w:type="pct"/>
                  <w:tcBorders>
                    <w:tl2br w:val="nil"/>
                    <w:tr2bl w:val="nil"/>
                  </w:tcBorders>
                  <w:vAlign w:val="center"/>
                </w:tcPr>
                <w:p w14:paraId="6F9F71E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588" w:type="dxa"/>
                  <w:tcBorders>
                    <w:tl2br w:val="nil"/>
                    <w:tr2bl w:val="nil"/>
                  </w:tcBorders>
                  <w:vAlign w:val="center"/>
                </w:tcPr>
                <w:p w14:paraId="48CBE70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341" w:type="pct"/>
                  <w:tcBorders>
                    <w:tl2br w:val="nil"/>
                    <w:tr2bl w:val="nil"/>
                  </w:tcBorders>
                  <w:vAlign w:val="center"/>
                </w:tcPr>
                <w:p w14:paraId="73B7F4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1" w:type="pct"/>
                  <w:tcBorders>
                    <w:tl2br w:val="nil"/>
                    <w:tr2bl w:val="nil"/>
                  </w:tcBorders>
                  <w:vAlign w:val="center"/>
                </w:tcPr>
                <w:p w14:paraId="4638DDE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9" w:type="pct"/>
                  <w:tcBorders>
                    <w:tl2br w:val="nil"/>
                    <w:tr2bl w:val="nil"/>
                  </w:tcBorders>
                  <w:vAlign w:val="center"/>
                </w:tcPr>
                <w:p w14:paraId="4A7D101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4" w:type="pct"/>
                  <w:tcBorders>
                    <w:tl2br w:val="nil"/>
                    <w:tr2bl w:val="nil"/>
                  </w:tcBorders>
                  <w:vAlign w:val="center"/>
                </w:tcPr>
                <w:p w14:paraId="7603C1F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30" w:type="pct"/>
                  <w:tcBorders>
                    <w:tl2br w:val="nil"/>
                    <w:tr2bl w:val="nil"/>
                  </w:tcBorders>
                  <w:vAlign w:val="center"/>
                </w:tcPr>
                <w:p w14:paraId="6ECA10D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24" w:type="pct"/>
                  <w:tcBorders>
                    <w:tl2br w:val="nil"/>
                    <w:tr2bl w:val="nil"/>
                  </w:tcBorders>
                  <w:vAlign w:val="center"/>
                </w:tcPr>
                <w:p w14:paraId="37B47DA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456" w:type="pct"/>
                  <w:tcBorders>
                    <w:tl2br w:val="nil"/>
                    <w:tr2bl w:val="nil"/>
                  </w:tcBorders>
                  <w:vAlign w:val="center"/>
                </w:tcPr>
                <w:p w14:paraId="3112B93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441" w:type="pct"/>
                  <w:tcBorders>
                    <w:tl2br w:val="nil"/>
                    <w:tr2bl w:val="nil"/>
                  </w:tcBorders>
                  <w:vAlign w:val="center"/>
                </w:tcPr>
                <w:p w14:paraId="4824A35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6411C2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247" w:type="pct"/>
                  <w:vMerge w:val="continue"/>
                  <w:tcBorders>
                    <w:tl2br w:val="nil"/>
                    <w:tr2bl w:val="nil"/>
                  </w:tcBorders>
                  <w:textDirection w:val="tbRlV"/>
                  <w:vAlign w:val="center"/>
                </w:tcPr>
                <w:p w14:paraId="46E46A55">
                  <w:pPr>
                    <w:rPr>
                      <w:rFonts w:ascii="Arial"/>
                      <w:color w:val="auto"/>
                      <w:sz w:val="21"/>
                      <w:szCs w:val="21"/>
                      <w:highlight w:val="none"/>
                    </w:rPr>
                  </w:pPr>
                </w:p>
              </w:tc>
              <w:tc>
                <w:tcPr>
                  <w:tcW w:w="811" w:type="pct"/>
                  <w:tcBorders>
                    <w:tl2br w:val="nil"/>
                    <w:tr2bl w:val="nil"/>
                  </w:tcBorders>
                  <w:vAlign w:val="center"/>
                </w:tcPr>
                <w:p w14:paraId="0CE9F7B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南厂界</w:t>
                  </w:r>
                </w:p>
              </w:tc>
              <w:tc>
                <w:tcPr>
                  <w:tcW w:w="431" w:type="pct"/>
                  <w:tcBorders>
                    <w:tl2br w:val="nil"/>
                    <w:tr2bl w:val="nil"/>
                  </w:tcBorders>
                  <w:vAlign w:val="center"/>
                </w:tcPr>
                <w:p w14:paraId="309B0E9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588" w:type="dxa"/>
                  <w:tcBorders>
                    <w:tl2br w:val="nil"/>
                    <w:tr2bl w:val="nil"/>
                  </w:tcBorders>
                  <w:vAlign w:val="center"/>
                </w:tcPr>
                <w:p w14:paraId="51A1EDB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341" w:type="pct"/>
                  <w:tcBorders>
                    <w:tl2br w:val="nil"/>
                    <w:tr2bl w:val="nil"/>
                  </w:tcBorders>
                  <w:vAlign w:val="center"/>
                </w:tcPr>
                <w:p w14:paraId="2EBB772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1" w:type="pct"/>
                  <w:tcBorders>
                    <w:tl2br w:val="nil"/>
                    <w:tr2bl w:val="nil"/>
                  </w:tcBorders>
                  <w:vAlign w:val="center"/>
                </w:tcPr>
                <w:p w14:paraId="5A080E7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9" w:type="pct"/>
                  <w:tcBorders>
                    <w:tl2br w:val="nil"/>
                    <w:tr2bl w:val="nil"/>
                  </w:tcBorders>
                  <w:vAlign w:val="center"/>
                </w:tcPr>
                <w:p w14:paraId="6558C12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4" w:type="pct"/>
                  <w:tcBorders>
                    <w:tl2br w:val="nil"/>
                    <w:tr2bl w:val="nil"/>
                  </w:tcBorders>
                  <w:vAlign w:val="center"/>
                </w:tcPr>
                <w:p w14:paraId="41D8572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30" w:type="pct"/>
                  <w:tcBorders>
                    <w:tl2br w:val="nil"/>
                    <w:tr2bl w:val="nil"/>
                  </w:tcBorders>
                  <w:vAlign w:val="center"/>
                </w:tcPr>
                <w:p w14:paraId="162B29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24" w:type="pct"/>
                  <w:tcBorders>
                    <w:tl2br w:val="nil"/>
                    <w:tr2bl w:val="nil"/>
                  </w:tcBorders>
                  <w:vAlign w:val="center"/>
                </w:tcPr>
                <w:p w14:paraId="7BFFFD5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456" w:type="pct"/>
                  <w:tcBorders>
                    <w:tl2br w:val="nil"/>
                    <w:tr2bl w:val="nil"/>
                  </w:tcBorders>
                  <w:vAlign w:val="center"/>
                </w:tcPr>
                <w:p w14:paraId="0212DF3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441" w:type="pct"/>
                  <w:tcBorders>
                    <w:tl2br w:val="nil"/>
                    <w:tr2bl w:val="nil"/>
                  </w:tcBorders>
                  <w:vAlign w:val="center"/>
                </w:tcPr>
                <w:p w14:paraId="3297A3B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38DBAA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247" w:type="pct"/>
                  <w:vMerge w:val="continue"/>
                  <w:tcBorders>
                    <w:tl2br w:val="nil"/>
                    <w:tr2bl w:val="nil"/>
                  </w:tcBorders>
                  <w:textDirection w:val="tbRlV"/>
                  <w:vAlign w:val="center"/>
                </w:tcPr>
                <w:p w14:paraId="62B10ACA">
                  <w:pPr>
                    <w:rPr>
                      <w:rFonts w:ascii="Arial"/>
                      <w:color w:val="auto"/>
                      <w:sz w:val="21"/>
                      <w:szCs w:val="21"/>
                      <w:highlight w:val="none"/>
                    </w:rPr>
                  </w:pPr>
                </w:p>
              </w:tc>
              <w:tc>
                <w:tcPr>
                  <w:tcW w:w="811" w:type="pct"/>
                  <w:tcBorders>
                    <w:tl2br w:val="nil"/>
                    <w:tr2bl w:val="nil"/>
                  </w:tcBorders>
                  <w:vAlign w:val="center"/>
                </w:tcPr>
                <w:p w14:paraId="73A2DAE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西厂界</w:t>
                  </w:r>
                </w:p>
              </w:tc>
              <w:tc>
                <w:tcPr>
                  <w:tcW w:w="431" w:type="pct"/>
                  <w:tcBorders>
                    <w:tl2br w:val="nil"/>
                    <w:tr2bl w:val="nil"/>
                  </w:tcBorders>
                  <w:vAlign w:val="center"/>
                </w:tcPr>
                <w:p w14:paraId="72A2A2C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eastAsia" w:cs="Times New Roman"/>
                      <w:color w:val="auto"/>
                      <w:sz w:val="21"/>
                      <w:szCs w:val="21"/>
                      <w:highlight w:val="none"/>
                      <w:lang w:val="en-US" w:eastAsia="zh-CN"/>
                    </w:rPr>
                    <w:t>8</w:t>
                  </w:r>
                </w:p>
              </w:tc>
              <w:tc>
                <w:tcPr>
                  <w:tcW w:w="588" w:type="dxa"/>
                  <w:tcBorders>
                    <w:tl2br w:val="nil"/>
                    <w:tr2bl w:val="nil"/>
                  </w:tcBorders>
                  <w:vAlign w:val="center"/>
                </w:tcPr>
                <w:p w14:paraId="0D91AB7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eastAsia" w:cs="Times New Roman"/>
                      <w:color w:val="auto"/>
                      <w:sz w:val="21"/>
                      <w:szCs w:val="21"/>
                      <w:highlight w:val="none"/>
                      <w:lang w:val="en-US" w:eastAsia="zh-CN"/>
                    </w:rPr>
                    <w:t>8</w:t>
                  </w:r>
                </w:p>
              </w:tc>
              <w:tc>
                <w:tcPr>
                  <w:tcW w:w="341" w:type="pct"/>
                  <w:tcBorders>
                    <w:tl2br w:val="nil"/>
                    <w:tr2bl w:val="nil"/>
                  </w:tcBorders>
                  <w:vAlign w:val="center"/>
                </w:tcPr>
                <w:p w14:paraId="0E613BE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1" w:type="pct"/>
                  <w:tcBorders>
                    <w:tl2br w:val="nil"/>
                    <w:tr2bl w:val="nil"/>
                  </w:tcBorders>
                  <w:vAlign w:val="center"/>
                </w:tcPr>
                <w:p w14:paraId="5B06293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9" w:type="pct"/>
                  <w:tcBorders>
                    <w:tl2br w:val="nil"/>
                    <w:tr2bl w:val="nil"/>
                  </w:tcBorders>
                  <w:vAlign w:val="center"/>
                </w:tcPr>
                <w:p w14:paraId="173FB35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4" w:type="pct"/>
                  <w:tcBorders>
                    <w:tl2br w:val="nil"/>
                    <w:tr2bl w:val="nil"/>
                  </w:tcBorders>
                  <w:vAlign w:val="center"/>
                </w:tcPr>
                <w:p w14:paraId="0C02D30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30" w:type="pct"/>
                  <w:tcBorders>
                    <w:tl2br w:val="nil"/>
                    <w:tr2bl w:val="nil"/>
                  </w:tcBorders>
                  <w:vAlign w:val="center"/>
                </w:tcPr>
                <w:p w14:paraId="200B441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24" w:type="pct"/>
                  <w:tcBorders>
                    <w:tl2br w:val="nil"/>
                    <w:tr2bl w:val="nil"/>
                  </w:tcBorders>
                  <w:vAlign w:val="center"/>
                </w:tcPr>
                <w:p w14:paraId="1D26326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456" w:type="pct"/>
                  <w:tcBorders>
                    <w:tl2br w:val="nil"/>
                    <w:tr2bl w:val="nil"/>
                  </w:tcBorders>
                  <w:vAlign w:val="center"/>
                </w:tcPr>
                <w:p w14:paraId="0F32072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441" w:type="pct"/>
                  <w:tcBorders>
                    <w:tl2br w:val="nil"/>
                    <w:tr2bl w:val="nil"/>
                  </w:tcBorders>
                  <w:vAlign w:val="center"/>
                </w:tcPr>
                <w:p w14:paraId="4EDC501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132CF1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247" w:type="pct"/>
                  <w:vMerge w:val="continue"/>
                  <w:tcBorders>
                    <w:tl2br w:val="nil"/>
                    <w:tr2bl w:val="nil"/>
                  </w:tcBorders>
                  <w:textDirection w:val="tbRlV"/>
                  <w:vAlign w:val="center"/>
                </w:tcPr>
                <w:p w14:paraId="1B9BD8CE">
                  <w:pPr>
                    <w:rPr>
                      <w:rFonts w:ascii="Arial"/>
                      <w:color w:val="auto"/>
                      <w:sz w:val="21"/>
                      <w:szCs w:val="21"/>
                      <w:highlight w:val="none"/>
                    </w:rPr>
                  </w:pPr>
                </w:p>
              </w:tc>
              <w:tc>
                <w:tcPr>
                  <w:tcW w:w="811" w:type="pct"/>
                  <w:tcBorders>
                    <w:tl2br w:val="nil"/>
                    <w:tr2bl w:val="nil"/>
                  </w:tcBorders>
                  <w:vAlign w:val="center"/>
                </w:tcPr>
                <w:p w14:paraId="00590A6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北厂界</w:t>
                  </w:r>
                </w:p>
              </w:tc>
              <w:tc>
                <w:tcPr>
                  <w:tcW w:w="431" w:type="pct"/>
                  <w:tcBorders>
                    <w:tl2br w:val="nil"/>
                    <w:tr2bl w:val="nil"/>
                  </w:tcBorders>
                  <w:vAlign w:val="center"/>
                </w:tcPr>
                <w:p w14:paraId="49AEAF0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588" w:type="dxa"/>
                  <w:tcBorders>
                    <w:tl2br w:val="nil"/>
                    <w:tr2bl w:val="nil"/>
                  </w:tcBorders>
                  <w:vAlign w:val="center"/>
                </w:tcPr>
                <w:p w14:paraId="472EB32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341" w:type="pct"/>
                  <w:tcBorders>
                    <w:tl2br w:val="nil"/>
                    <w:tr2bl w:val="nil"/>
                  </w:tcBorders>
                  <w:vAlign w:val="center"/>
                </w:tcPr>
                <w:p w14:paraId="1B0AAB8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1" w:type="pct"/>
                  <w:tcBorders>
                    <w:tl2br w:val="nil"/>
                    <w:tr2bl w:val="nil"/>
                  </w:tcBorders>
                  <w:vAlign w:val="center"/>
                </w:tcPr>
                <w:p w14:paraId="3F966C7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9" w:type="pct"/>
                  <w:tcBorders>
                    <w:tl2br w:val="nil"/>
                    <w:tr2bl w:val="nil"/>
                  </w:tcBorders>
                  <w:vAlign w:val="center"/>
                </w:tcPr>
                <w:p w14:paraId="6FB3A5E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4" w:type="pct"/>
                  <w:tcBorders>
                    <w:tl2br w:val="nil"/>
                    <w:tr2bl w:val="nil"/>
                  </w:tcBorders>
                  <w:vAlign w:val="center"/>
                </w:tcPr>
                <w:p w14:paraId="56CFB60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30" w:type="pct"/>
                  <w:tcBorders>
                    <w:tl2br w:val="nil"/>
                    <w:tr2bl w:val="nil"/>
                  </w:tcBorders>
                  <w:vAlign w:val="center"/>
                </w:tcPr>
                <w:p w14:paraId="20C0580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24" w:type="pct"/>
                  <w:tcBorders>
                    <w:tl2br w:val="nil"/>
                    <w:tr2bl w:val="nil"/>
                  </w:tcBorders>
                  <w:vAlign w:val="center"/>
                </w:tcPr>
                <w:p w14:paraId="74BB003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456" w:type="pct"/>
                  <w:tcBorders>
                    <w:tl2br w:val="nil"/>
                    <w:tr2bl w:val="nil"/>
                  </w:tcBorders>
                  <w:vAlign w:val="center"/>
                </w:tcPr>
                <w:p w14:paraId="482B0C8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441" w:type="pct"/>
                  <w:tcBorders>
                    <w:tl2br w:val="nil"/>
                    <w:tr2bl w:val="nil"/>
                  </w:tcBorders>
                  <w:vAlign w:val="center"/>
                </w:tcPr>
                <w:p w14:paraId="0822744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186DE9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47" w:type="pct"/>
                  <w:vMerge w:val="restart"/>
                  <w:tcBorders>
                    <w:tl2br w:val="nil"/>
                    <w:tr2bl w:val="nil"/>
                  </w:tcBorders>
                  <w:textDirection w:val="tbRlV"/>
                  <w:vAlign w:val="center"/>
                </w:tcPr>
                <w:p w14:paraId="44C3FB28">
                  <w:pPr>
                    <w:pStyle w:val="104"/>
                    <w:spacing w:line="188" w:lineRule="auto"/>
                    <w:ind w:left="140"/>
                    <w:rPr>
                      <w:color w:val="auto"/>
                      <w:sz w:val="21"/>
                      <w:szCs w:val="21"/>
                      <w:highlight w:val="none"/>
                    </w:rPr>
                  </w:pPr>
                  <w:r>
                    <w:rPr>
                      <w:color w:val="auto"/>
                      <w:spacing w:val="8"/>
                      <w:sz w:val="21"/>
                      <w:szCs w:val="21"/>
                      <w:highlight w:val="none"/>
                    </w:rPr>
                    <w:t>敏</w:t>
                  </w:r>
                  <w:r>
                    <w:rPr>
                      <w:color w:val="auto"/>
                      <w:spacing w:val="-34"/>
                      <w:sz w:val="21"/>
                      <w:szCs w:val="21"/>
                      <w:highlight w:val="none"/>
                    </w:rPr>
                    <w:t xml:space="preserve"> </w:t>
                  </w:r>
                  <w:r>
                    <w:rPr>
                      <w:color w:val="auto"/>
                      <w:spacing w:val="8"/>
                      <w:sz w:val="21"/>
                      <w:szCs w:val="21"/>
                      <w:highlight w:val="none"/>
                    </w:rPr>
                    <w:t>感</w:t>
                  </w:r>
                  <w:r>
                    <w:rPr>
                      <w:color w:val="auto"/>
                      <w:spacing w:val="-38"/>
                      <w:sz w:val="21"/>
                      <w:szCs w:val="21"/>
                      <w:highlight w:val="none"/>
                    </w:rPr>
                    <w:t xml:space="preserve"> </w:t>
                  </w:r>
                  <w:r>
                    <w:rPr>
                      <w:color w:val="auto"/>
                      <w:spacing w:val="8"/>
                      <w:sz w:val="21"/>
                      <w:szCs w:val="21"/>
                      <w:highlight w:val="none"/>
                    </w:rPr>
                    <w:t>点</w:t>
                  </w:r>
                </w:p>
              </w:tc>
              <w:tc>
                <w:tcPr>
                  <w:tcW w:w="811" w:type="pct"/>
                  <w:tcBorders>
                    <w:tl2br w:val="nil"/>
                    <w:tr2bl w:val="nil"/>
                  </w:tcBorders>
                  <w:vAlign w:val="center"/>
                </w:tcPr>
                <w:p w14:paraId="4F690A4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西联庄</w:t>
                  </w:r>
                </w:p>
              </w:tc>
              <w:tc>
                <w:tcPr>
                  <w:tcW w:w="431" w:type="pct"/>
                  <w:tcBorders>
                    <w:tl2br w:val="nil"/>
                    <w:tr2bl w:val="nil"/>
                  </w:tcBorders>
                  <w:vAlign w:val="center"/>
                </w:tcPr>
                <w:p w14:paraId="0E7B3B0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370" w:type="pct"/>
                  <w:tcBorders>
                    <w:tl2br w:val="nil"/>
                    <w:tr2bl w:val="nil"/>
                  </w:tcBorders>
                  <w:vAlign w:val="center"/>
                </w:tcPr>
                <w:p w14:paraId="373439C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341" w:type="pct"/>
                  <w:tcBorders>
                    <w:tl2br w:val="nil"/>
                    <w:tr2bl w:val="nil"/>
                  </w:tcBorders>
                  <w:vAlign w:val="center"/>
                </w:tcPr>
                <w:p w14:paraId="666A42B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w:t>
                  </w:r>
                </w:p>
              </w:tc>
              <w:tc>
                <w:tcPr>
                  <w:tcW w:w="351" w:type="pct"/>
                  <w:tcBorders>
                    <w:tl2br w:val="nil"/>
                    <w:tr2bl w:val="nil"/>
                  </w:tcBorders>
                  <w:vAlign w:val="center"/>
                </w:tcPr>
                <w:p w14:paraId="27E6A8E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c>
                <w:tcPr>
                  <w:tcW w:w="339" w:type="pct"/>
                  <w:tcBorders>
                    <w:tl2br w:val="nil"/>
                    <w:tr2bl w:val="nil"/>
                  </w:tcBorders>
                  <w:vAlign w:val="center"/>
                </w:tcPr>
                <w:p w14:paraId="32C5AE3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354" w:type="pct"/>
                  <w:tcBorders>
                    <w:tl2br w:val="nil"/>
                    <w:tr2bl w:val="nil"/>
                  </w:tcBorders>
                  <w:vAlign w:val="center"/>
                </w:tcPr>
                <w:p w14:paraId="02DA09C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430" w:type="pct"/>
                  <w:tcBorders>
                    <w:tl2br w:val="nil"/>
                    <w:tr2bl w:val="nil"/>
                  </w:tcBorders>
                  <w:vAlign w:val="center"/>
                </w:tcPr>
                <w:p w14:paraId="00DFFE1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424" w:type="pct"/>
                  <w:tcBorders>
                    <w:tl2br w:val="nil"/>
                    <w:tr2bl w:val="nil"/>
                  </w:tcBorders>
                  <w:vAlign w:val="center"/>
                </w:tcPr>
                <w:p w14:paraId="5DF5751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456" w:type="pct"/>
                  <w:tcBorders>
                    <w:tl2br w:val="nil"/>
                    <w:tr2bl w:val="nil"/>
                  </w:tcBorders>
                  <w:vAlign w:val="center"/>
                </w:tcPr>
                <w:p w14:paraId="1B03250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441" w:type="pct"/>
                  <w:tcBorders>
                    <w:tl2br w:val="nil"/>
                    <w:tr2bl w:val="nil"/>
                  </w:tcBorders>
                  <w:vAlign w:val="center"/>
                </w:tcPr>
                <w:p w14:paraId="55D46D7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9BE1B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247" w:type="pct"/>
                  <w:vMerge w:val="continue"/>
                  <w:tcBorders>
                    <w:tl2br w:val="nil"/>
                    <w:tr2bl w:val="nil"/>
                  </w:tcBorders>
                  <w:textDirection w:val="tbRlV"/>
                  <w:vAlign w:val="center"/>
                </w:tcPr>
                <w:p w14:paraId="6939C6E3">
                  <w:pPr>
                    <w:rPr>
                      <w:rFonts w:ascii="Arial"/>
                      <w:color w:val="auto"/>
                      <w:sz w:val="21"/>
                      <w:szCs w:val="21"/>
                      <w:highlight w:val="none"/>
                    </w:rPr>
                  </w:pPr>
                </w:p>
              </w:tc>
              <w:tc>
                <w:tcPr>
                  <w:tcW w:w="811" w:type="pct"/>
                  <w:tcBorders>
                    <w:tl2br w:val="nil"/>
                    <w:tr2bl w:val="nil"/>
                  </w:tcBorders>
                  <w:vAlign w:val="center"/>
                </w:tcPr>
                <w:p w14:paraId="4981CC7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东联庄</w:t>
                  </w:r>
                </w:p>
              </w:tc>
              <w:tc>
                <w:tcPr>
                  <w:tcW w:w="431" w:type="pct"/>
                  <w:tcBorders>
                    <w:tl2br w:val="nil"/>
                    <w:tr2bl w:val="nil"/>
                  </w:tcBorders>
                  <w:vAlign w:val="center"/>
                </w:tcPr>
                <w:p w14:paraId="3DDC128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370" w:type="pct"/>
                  <w:tcBorders>
                    <w:tl2br w:val="nil"/>
                    <w:tr2bl w:val="nil"/>
                  </w:tcBorders>
                  <w:vAlign w:val="center"/>
                </w:tcPr>
                <w:p w14:paraId="207AC56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341" w:type="pct"/>
                  <w:tcBorders>
                    <w:tl2br w:val="nil"/>
                    <w:tr2bl w:val="nil"/>
                  </w:tcBorders>
                  <w:vAlign w:val="center"/>
                </w:tcPr>
                <w:p w14:paraId="72F7E7F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351" w:type="pct"/>
                  <w:tcBorders>
                    <w:tl2br w:val="nil"/>
                    <w:tr2bl w:val="nil"/>
                  </w:tcBorders>
                  <w:vAlign w:val="center"/>
                </w:tcPr>
                <w:p w14:paraId="4261731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w:t>
                  </w:r>
                </w:p>
              </w:tc>
              <w:tc>
                <w:tcPr>
                  <w:tcW w:w="339" w:type="pct"/>
                  <w:tcBorders>
                    <w:tl2br w:val="nil"/>
                    <w:tr2bl w:val="nil"/>
                  </w:tcBorders>
                  <w:vAlign w:val="center"/>
                </w:tcPr>
                <w:p w14:paraId="0A5E52E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354" w:type="pct"/>
                  <w:tcBorders>
                    <w:tl2br w:val="nil"/>
                    <w:tr2bl w:val="nil"/>
                  </w:tcBorders>
                  <w:vAlign w:val="center"/>
                </w:tcPr>
                <w:p w14:paraId="624A777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430" w:type="pct"/>
                  <w:tcBorders>
                    <w:tl2br w:val="nil"/>
                    <w:tr2bl w:val="nil"/>
                  </w:tcBorders>
                  <w:vAlign w:val="center"/>
                </w:tcPr>
                <w:p w14:paraId="5312B4E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424" w:type="pct"/>
                  <w:tcBorders>
                    <w:tl2br w:val="nil"/>
                    <w:tr2bl w:val="nil"/>
                  </w:tcBorders>
                  <w:vAlign w:val="center"/>
                </w:tcPr>
                <w:p w14:paraId="700A1B4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456" w:type="pct"/>
                  <w:tcBorders>
                    <w:tl2br w:val="nil"/>
                    <w:tr2bl w:val="nil"/>
                  </w:tcBorders>
                  <w:vAlign w:val="center"/>
                </w:tcPr>
                <w:p w14:paraId="43D8866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441" w:type="pct"/>
                  <w:tcBorders>
                    <w:tl2br w:val="nil"/>
                    <w:tr2bl w:val="nil"/>
                  </w:tcBorders>
                  <w:vAlign w:val="center"/>
                </w:tcPr>
                <w:p w14:paraId="7EDF460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14:paraId="6FD834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position w:val="-14"/>
                <w:sz w:val="24"/>
                <w:szCs w:val="24"/>
                <w:highlight w:val="none"/>
                <w:lang w:val="en-US" w:eastAsia="zh-CN"/>
              </w:rPr>
              <w:t>由上表可知，</w:t>
            </w:r>
            <w:r>
              <w:rPr>
                <w:rFonts w:hint="default" w:ascii="Times New Roman" w:hAnsi="Times New Roman" w:eastAsia="宋体" w:cs="Times New Roman"/>
                <w:b w:val="0"/>
                <w:bCs w:val="0"/>
                <w:color w:val="auto"/>
                <w:position w:val="-14"/>
                <w:sz w:val="24"/>
                <w:szCs w:val="24"/>
                <w:highlight w:val="none"/>
              </w:rPr>
              <w:t>项目</w:t>
            </w:r>
            <w:r>
              <w:rPr>
                <w:rFonts w:hint="default" w:ascii="Times New Roman" w:hAnsi="Times New Roman" w:eastAsia="宋体" w:cs="Times New Roman"/>
                <w:b w:val="0"/>
                <w:bCs w:val="0"/>
                <w:color w:val="auto"/>
                <w:position w:val="-14"/>
                <w:sz w:val="24"/>
                <w:szCs w:val="24"/>
                <w:highlight w:val="none"/>
                <w:lang w:val="en-US" w:eastAsia="zh-CN"/>
              </w:rPr>
              <w:t>厂界四周噪声贡献值均满足</w:t>
            </w:r>
            <w:r>
              <w:rPr>
                <w:rFonts w:hint="default" w:ascii="Times New Roman" w:hAnsi="Times New Roman" w:eastAsia="宋体" w:cs="Times New Roman"/>
                <w:b w:val="0"/>
                <w:bCs w:val="0"/>
                <w:color w:val="auto"/>
                <w:position w:val="-14"/>
                <w:sz w:val="24"/>
                <w:szCs w:val="24"/>
                <w:highlight w:val="none"/>
              </w:rPr>
              <w:t>《工业企业厂界环境噪声排放标准》（GB12348-2008）</w:t>
            </w:r>
            <w:r>
              <w:rPr>
                <w:rFonts w:hint="default" w:ascii="Times New Roman" w:hAnsi="Times New Roman" w:eastAsia="宋体" w:cs="Times New Roman"/>
                <w:b w:val="0"/>
                <w:bCs w:val="0"/>
                <w:color w:val="auto"/>
                <w:position w:val="-14"/>
                <w:sz w:val="24"/>
                <w:szCs w:val="24"/>
                <w:highlight w:val="none"/>
                <w:lang w:val="en-US" w:eastAsia="zh-CN"/>
              </w:rPr>
              <w:t>中</w:t>
            </w:r>
            <w:r>
              <w:rPr>
                <w:rFonts w:hint="eastAsia" w:cs="Times New Roman"/>
                <w:b w:val="0"/>
                <w:bCs w:val="0"/>
                <w:color w:val="auto"/>
                <w:position w:val="-14"/>
                <w:sz w:val="24"/>
                <w:szCs w:val="24"/>
                <w:highlight w:val="none"/>
                <w:lang w:val="en-US" w:eastAsia="zh-CN"/>
              </w:rPr>
              <w:t>3</w:t>
            </w:r>
            <w:r>
              <w:rPr>
                <w:rFonts w:hint="default" w:ascii="Times New Roman" w:hAnsi="Times New Roman" w:eastAsia="宋体" w:cs="Times New Roman"/>
                <w:b w:val="0"/>
                <w:bCs w:val="0"/>
                <w:color w:val="auto"/>
                <w:position w:val="-14"/>
                <w:sz w:val="24"/>
                <w:szCs w:val="24"/>
                <w:highlight w:val="none"/>
              </w:rPr>
              <w:t>类标准要求</w:t>
            </w:r>
            <w:r>
              <w:rPr>
                <w:rFonts w:hint="default" w:ascii="Times New Roman" w:hAnsi="Times New Roman" w:eastAsia="宋体" w:cs="Times New Roman"/>
                <w:b w:val="0"/>
                <w:bCs w:val="0"/>
                <w:color w:val="auto"/>
                <w:position w:val="-14"/>
                <w:sz w:val="24"/>
                <w:szCs w:val="24"/>
                <w:highlight w:val="none"/>
                <w:lang w:eastAsia="zh-CN"/>
              </w:rPr>
              <w:t>，敏感点噪声满足《声环境质量标准》（GB3096-2008）2类标准的要求</w:t>
            </w:r>
            <w:r>
              <w:rPr>
                <w:rFonts w:hint="eastAsia" w:cs="Times New Roman"/>
                <w:b w:val="0"/>
                <w:bCs w:val="0"/>
                <w:color w:val="auto"/>
                <w:position w:val="-14"/>
                <w:sz w:val="24"/>
                <w:szCs w:val="24"/>
                <w:highlight w:val="none"/>
                <w:lang w:eastAsia="zh-CN"/>
              </w:rPr>
              <w:t>。</w:t>
            </w:r>
            <w:r>
              <w:rPr>
                <w:rFonts w:hint="eastAsia" w:cs="Times New Roman"/>
                <w:b w:val="0"/>
                <w:bCs w:val="0"/>
                <w:color w:val="auto"/>
                <w:position w:val="-14"/>
                <w:sz w:val="24"/>
                <w:szCs w:val="24"/>
                <w:highlight w:val="none"/>
                <w:lang w:val="en-US" w:eastAsia="zh-CN"/>
              </w:rPr>
              <w:t>通过厂房隔声、安装基础减振基座、采用低噪声设备，</w:t>
            </w:r>
            <w:r>
              <w:rPr>
                <w:rFonts w:hint="default" w:ascii="Times New Roman" w:hAnsi="Times New Roman" w:eastAsia="宋体" w:cs="Times New Roman"/>
                <w:b w:val="0"/>
                <w:bCs w:val="0"/>
                <w:color w:val="auto"/>
                <w:position w:val="-14"/>
                <w:sz w:val="24"/>
                <w:szCs w:val="24"/>
                <w:highlight w:val="none"/>
                <w:lang w:val="en-US" w:eastAsia="zh-CN"/>
              </w:rPr>
              <w:t>项目运营期</w:t>
            </w:r>
            <w:r>
              <w:rPr>
                <w:rFonts w:hint="default" w:ascii="Times New Roman" w:hAnsi="Times New Roman" w:eastAsia="宋体" w:cs="Times New Roman"/>
                <w:b w:val="0"/>
                <w:bCs w:val="0"/>
                <w:color w:val="auto"/>
                <w:position w:val="-14"/>
                <w:sz w:val="24"/>
                <w:szCs w:val="24"/>
                <w:highlight w:val="none"/>
              </w:rPr>
              <w:t>产生的噪声对</w:t>
            </w:r>
            <w:r>
              <w:rPr>
                <w:rFonts w:hint="default" w:ascii="Times New Roman" w:hAnsi="Times New Roman" w:eastAsia="宋体" w:cs="Times New Roman"/>
                <w:b w:val="0"/>
                <w:bCs w:val="0"/>
                <w:color w:val="auto"/>
                <w:position w:val="-14"/>
                <w:sz w:val="24"/>
                <w:szCs w:val="24"/>
                <w:highlight w:val="none"/>
                <w:lang w:val="en-US" w:eastAsia="zh-CN"/>
              </w:rPr>
              <w:t>周边</w:t>
            </w:r>
            <w:r>
              <w:rPr>
                <w:rFonts w:hint="default" w:ascii="Times New Roman" w:hAnsi="Times New Roman" w:eastAsia="宋体" w:cs="Times New Roman"/>
                <w:b w:val="0"/>
                <w:bCs w:val="0"/>
                <w:color w:val="auto"/>
                <w:position w:val="-14"/>
                <w:sz w:val="24"/>
                <w:szCs w:val="24"/>
                <w:highlight w:val="none"/>
              </w:rPr>
              <w:t>声环境影响较小</w:t>
            </w:r>
            <w:r>
              <w:rPr>
                <w:rFonts w:hint="default" w:ascii="Times New Roman" w:hAnsi="Times New Roman" w:eastAsia="宋体" w:cs="Times New Roman"/>
                <w:b w:val="0"/>
                <w:bCs w:val="0"/>
                <w:color w:val="auto"/>
                <w:position w:val="-14"/>
                <w:sz w:val="24"/>
                <w:szCs w:val="24"/>
                <w:highlight w:val="none"/>
              </w:rPr>
              <w:t>。</w:t>
            </w:r>
          </w:p>
          <w:p w14:paraId="533C250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（4）噪声监测计划</w:t>
            </w:r>
          </w:p>
          <w:p w14:paraId="06D0399B">
            <w:pPr>
              <w:pStyle w:val="50"/>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ascii="Times New Roman" w:hAnsi="Times New Roman" w:cs="Times New Roman"/>
                <w:b/>
                <w:bCs/>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rPr>
              <w:t xml:space="preserve">  运营期</w:t>
            </w:r>
            <w:r>
              <w:rPr>
                <w:rFonts w:hint="eastAsia" w:ascii="Times New Roman" w:hAnsi="Times New Roman" w:eastAsia="宋体" w:cs="Times New Roman"/>
                <w:b/>
                <w:bCs/>
                <w:color w:val="auto"/>
                <w:sz w:val="21"/>
                <w:szCs w:val="21"/>
                <w:highlight w:val="none"/>
                <w:lang w:val="en-US" w:eastAsia="zh-CN"/>
              </w:rPr>
              <w:t>噪声</w:t>
            </w:r>
            <w:r>
              <w:rPr>
                <w:rFonts w:hint="default" w:ascii="Times New Roman" w:hAnsi="Times New Roman" w:eastAsia="宋体" w:cs="Times New Roman"/>
                <w:b/>
                <w:bCs/>
                <w:color w:val="auto"/>
                <w:sz w:val="21"/>
                <w:szCs w:val="21"/>
                <w:highlight w:val="none"/>
              </w:rPr>
              <w:t>监测</w:t>
            </w:r>
            <w:r>
              <w:rPr>
                <w:rFonts w:hint="eastAsia" w:ascii="Times New Roman" w:hAnsi="Times New Roman" w:eastAsia="宋体" w:cs="Times New Roman"/>
                <w:b/>
                <w:bCs/>
                <w:color w:val="auto"/>
                <w:sz w:val="21"/>
                <w:szCs w:val="21"/>
                <w:highlight w:val="none"/>
                <w:lang w:val="en-US" w:eastAsia="zh-CN"/>
              </w:rPr>
              <w:t>计划</w:t>
            </w:r>
            <w:r>
              <w:rPr>
                <w:rFonts w:hint="default" w:ascii="Times New Roman" w:hAnsi="Times New Roman" w:eastAsia="宋体" w:cs="Times New Roman"/>
                <w:b/>
                <w:bCs/>
                <w:color w:val="auto"/>
                <w:sz w:val="21"/>
                <w:szCs w:val="21"/>
                <w:highlight w:val="none"/>
              </w:rPr>
              <w:t>一览表</w:t>
            </w:r>
          </w:p>
          <w:tbl>
            <w:tblPr>
              <w:tblStyle w:val="28"/>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1"/>
              <w:gridCol w:w="1836"/>
              <w:gridCol w:w="1308"/>
              <w:gridCol w:w="1310"/>
              <w:gridCol w:w="2680"/>
            </w:tblGrid>
            <w:tr w14:paraId="1C1EC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3" w:type="pct"/>
                  <w:noWrap w:val="0"/>
                  <w:vAlign w:val="center"/>
                </w:tcPr>
                <w:p w14:paraId="6913B80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类别</w:t>
                  </w:r>
                </w:p>
              </w:tc>
              <w:tc>
                <w:tcPr>
                  <w:tcW w:w="1159" w:type="pct"/>
                  <w:noWrap w:val="0"/>
                  <w:vAlign w:val="center"/>
                </w:tcPr>
                <w:p w14:paraId="790B9FA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监测点名称</w:t>
                  </w:r>
                </w:p>
              </w:tc>
              <w:tc>
                <w:tcPr>
                  <w:tcW w:w="826" w:type="pct"/>
                  <w:noWrap w:val="0"/>
                  <w:vAlign w:val="center"/>
                </w:tcPr>
                <w:p w14:paraId="17FAFFB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监测项目</w:t>
                  </w:r>
                </w:p>
              </w:tc>
              <w:tc>
                <w:tcPr>
                  <w:tcW w:w="827" w:type="pct"/>
                  <w:noWrap w:val="0"/>
                  <w:vAlign w:val="center"/>
                </w:tcPr>
                <w:p w14:paraId="5A676E6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监测频率</w:t>
                  </w:r>
                </w:p>
              </w:tc>
              <w:tc>
                <w:tcPr>
                  <w:tcW w:w="1692" w:type="pct"/>
                  <w:noWrap w:val="0"/>
                  <w:vAlign w:val="center"/>
                </w:tcPr>
                <w:p w14:paraId="03BABCD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val="en-US" w:eastAsia="zh-CN"/>
                    </w:rPr>
                    <w:t>执行标准</w:t>
                  </w:r>
                </w:p>
              </w:tc>
            </w:tr>
            <w:tr w14:paraId="2E034A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3" w:type="pct"/>
                  <w:vMerge w:val="restart"/>
                  <w:noWrap w:val="0"/>
                  <w:vAlign w:val="center"/>
                </w:tcPr>
                <w:p w14:paraId="7B97FF4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w:t>
                  </w:r>
                </w:p>
              </w:tc>
              <w:tc>
                <w:tcPr>
                  <w:tcW w:w="1159" w:type="pct"/>
                  <w:noWrap w:val="0"/>
                  <w:vAlign w:val="center"/>
                </w:tcPr>
                <w:p w14:paraId="3F7CEA7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厂界四周</w:t>
                  </w:r>
                </w:p>
              </w:tc>
              <w:tc>
                <w:tcPr>
                  <w:tcW w:w="826" w:type="pct"/>
                  <w:noWrap w:val="0"/>
                  <w:vAlign w:val="center"/>
                </w:tcPr>
                <w:p w14:paraId="15ED113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等效声级</w:t>
                  </w:r>
                </w:p>
              </w:tc>
              <w:tc>
                <w:tcPr>
                  <w:tcW w:w="827" w:type="pct"/>
                  <w:noWrap w:val="0"/>
                  <w:vAlign w:val="center"/>
                </w:tcPr>
                <w:p w14:paraId="6179078F">
                  <w:pPr>
                    <w:keepNext w:val="0"/>
                    <w:keepLines w:val="0"/>
                    <w:suppressLineNumbers w:val="0"/>
                    <w:spacing w:before="0" w:beforeAutospacing="0" w:after="0" w:afterAutospacing="0" w:line="300" w:lineRule="exact"/>
                    <w:ind w:left="-105" w:leftChars="-50" w:right="-105" w:rightChars="-5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1次</w:t>
                  </w:r>
                  <w:r>
                    <w:rPr>
                      <w:rFonts w:hint="default" w:ascii="Times New Roman" w:hAnsi="Times New Roman" w:eastAsia="宋体" w:cs="Times New Roman"/>
                      <w:color w:val="auto"/>
                      <w:sz w:val="21"/>
                      <w:szCs w:val="21"/>
                      <w:highlight w:val="none"/>
                      <w:lang w:val="en-US" w:eastAsia="zh-CN"/>
                    </w:rPr>
                    <w:t>/季度</w:t>
                  </w:r>
                </w:p>
              </w:tc>
              <w:tc>
                <w:tcPr>
                  <w:tcW w:w="1692" w:type="pct"/>
                  <w:noWrap w:val="0"/>
                  <w:vAlign w:val="center"/>
                </w:tcPr>
                <w:p w14:paraId="0C9133B4">
                  <w:pPr>
                    <w:keepNext w:val="0"/>
                    <w:keepLines w:val="0"/>
                    <w:suppressLineNumbers w:val="0"/>
                    <w:spacing w:before="0" w:beforeAutospacing="0" w:after="0" w:afterAutospacing="0" w:line="300" w:lineRule="exact"/>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《工业企业厂界环境噪声排放标准》（GB12348-2008）</w:t>
                  </w:r>
                  <w:r>
                    <w:rPr>
                      <w:rFonts w:hint="eastAsia"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rPr>
                    <w:t>类</w:t>
                  </w:r>
                  <w:r>
                    <w:rPr>
                      <w:rFonts w:hint="default" w:ascii="Times New Roman" w:hAnsi="Times New Roman" w:eastAsia="宋体" w:cs="Times New Roman"/>
                      <w:bCs/>
                      <w:color w:val="auto"/>
                      <w:sz w:val="21"/>
                      <w:szCs w:val="21"/>
                      <w:highlight w:val="none"/>
                      <w:lang w:val="en-US" w:eastAsia="zh-CN"/>
                    </w:rPr>
                    <w:t>标准</w:t>
                  </w:r>
                </w:p>
              </w:tc>
            </w:tr>
            <w:tr w14:paraId="2AC4A4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3" w:type="pct"/>
                  <w:vMerge w:val="continue"/>
                  <w:noWrap w:val="0"/>
                  <w:vAlign w:val="center"/>
                </w:tcPr>
                <w:p w14:paraId="4B49DF0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rPr>
                  </w:pPr>
                </w:p>
              </w:tc>
              <w:tc>
                <w:tcPr>
                  <w:tcW w:w="1159" w:type="pct"/>
                  <w:shd w:val="clear" w:color="auto" w:fill="auto"/>
                  <w:noWrap w:val="0"/>
                  <w:vAlign w:val="center"/>
                </w:tcPr>
                <w:p w14:paraId="3243A8E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pacing w:val="4"/>
                      <w:sz w:val="21"/>
                      <w:szCs w:val="21"/>
                      <w:highlight w:val="none"/>
                    </w:rPr>
                    <w:t>东联庄</w:t>
                  </w:r>
                  <w:r>
                    <w:rPr>
                      <w:rFonts w:hint="eastAsia"/>
                      <w:color w:val="auto"/>
                      <w:spacing w:val="4"/>
                      <w:sz w:val="21"/>
                      <w:szCs w:val="21"/>
                      <w:highlight w:val="none"/>
                      <w:lang w:eastAsia="zh-CN"/>
                    </w:rPr>
                    <w:t>、</w:t>
                  </w:r>
                  <w:r>
                    <w:rPr>
                      <w:rFonts w:hint="default"/>
                      <w:color w:val="auto"/>
                      <w:spacing w:val="5"/>
                      <w:sz w:val="21"/>
                      <w:szCs w:val="21"/>
                      <w:highlight w:val="none"/>
                    </w:rPr>
                    <w:t>西联庄</w:t>
                  </w:r>
                </w:p>
              </w:tc>
              <w:tc>
                <w:tcPr>
                  <w:tcW w:w="826" w:type="pct"/>
                  <w:noWrap w:val="0"/>
                  <w:vAlign w:val="center"/>
                </w:tcPr>
                <w:p w14:paraId="290B31A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等效声级</w:t>
                  </w:r>
                </w:p>
              </w:tc>
              <w:tc>
                <w:tcPr>
                  <w:tcW w:w="827" w:type="pct"/>
                  <w:noWrap w:val="0"/>
                  <w:vAlign w:val="center"/>
                </w:tcPr>
                <w:p w14:paraId="2F572D9C">
                  <w:pPr>
                    <w:keepNext w:val="0"/>
                    <w:keepLines w:val="0"/>
                    <w:suppressLineNumbers w:val="0"/>
                    <w:spacing w:before="0" w:beforeAutospacing="0" w:after="0" w:afterAutospacing="0" w:line="30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default" w:ascii="Times New Roman" w:hAnsi="Times New Roman" w:eastAsia="宋体" w:cs="Times New Roman"/>
                      <w:color w:val="auto"/>
                      <w:sz w:val="21"/>
                      <w:szCs w:val="21"/>
                      <w:highlight w:val="none"/>
                      <w:lang w:val="en-US" w:eastAsia="zh-CN"/>
                    </w:rPr>
                    <w:t>/季度</w:t>
                  </w:r>
                </w:p>
              </w:tc>
              <w:tc>
                <w:tcPr>
                  <w:tcW w:w="1692" w:type="pct"/>
                  <w:noWrap w:val="0"/>
                  <w:vAlign w:val="center"/>
                </w:tcPr>
                <w:p w14:paraId="418CBAAB">
                  <w:pPr>
                    <w:keepNext w:val="0"/>
                    <w:keepLines w:val="0"/>
                    <w:suppressLineNumbers w:val="0"/>
                    <w:spacing w:before="0" w:beforeAutospacing="0" w:after="0" w:afterAutospacing="0" w:line="300" w:lineRule="exact"/>
                    <w:ind w:left="0" w:right="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《声环境质量标准》（GB3096-2008</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2类</w:t>
                  </w:r>
                  <w:r>
                    <w:rPr>
                      <w:rFonts w:hint="default" w:ascii="Times New Roman" w:hAnsi="Times New Roman" w:eastAsia="宋体" w:cs="Times New Roman"/>
                      <w:bCs/>
                      <w:color w:val="auto"/>
                      <w:sz w:val="21"/>
                      <w:szCs w:val="21"/>
                      <w:highlight w:val="none"/>
                      <w:lang w:val="en-US" w:eastAsia="zh-CN"/>
                    </w:rPr>
                    <w:t>标准</w:t>
                  </w:r>
                </w:p>
              </w:tc>
            </w:tr>
          </w:tbl>
          <w:p w14:paraId="70D9F4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固体废弃物环境影响分析</w:t>
            </w:r>
          </w:p>
          <w:p w14:paraId="03B6DC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（一）</w:t>
            </w:r>
            <w:r>
              <w:rPr>
                <w:rFonts w:hint="default" w:ascii="Times New Roman" w:hAnsi="Times New Roman" w:eastAsia="宋体" w:cs="Times New Roman"/>
                <w:b w:val="0"/>
                <w:bCs w:val="0"/>
                <w:color w:val="auto"/>
                <w:sz w:val="24"/>
                <w:szCs w:val="24"/>
                <w:highlight w:val="none"/>
              </w:rPr>
              <w:t>固体废物</w:t>
            </w:r>
            <w:r>
              <w:rPr>
                <w:rFonts w:hint="default" w:ascii="Times New Roman" w:hAnsi="Times New Roman" w:eastAsia="宋体" w:cs="Times New Roman"/>
                <w:b w:val="0"/>
                <w:bCs w:val="0"/>
                <w:color w:val="auto"/>
                <w:sz w:val="24"/>
                <w:szCs w:val="24"/>
                <w:highlight w:val="none"/>
                <w:lang w:val="en-US" w:eastAsia="zh-CN"/>
              </w:rPr>
              <w:t>排放</w:t>
            </w:r>
            <w:r>
              <w:rPr>
                <w:rFonts w:hint="default" w:ascii="Times New Roman" w:hAnsi="Times New Roman" w:eastAsia="宋体" w:cs="Times New Roman"/>
                <w:b w:val="0"/>
                <w:bCs w:val="0"/>
                <w:color w:val="auto"/>
                <w:sz w:val="24"/>
                <w:szCs w:val="24"/>
                <w:highlight w:val="none"/>
              </w:rPr>
              <w:t>情况</w:t>
            </w:r>
          </w:p>
          <w:p w14:paraId="3D737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w:t>
            </w:r>
            <w:r>
              <w:rPr>
                <w:rFonts w:hint="default" w:ascii="Times New Roman" w:hAnsi="Times New Roman" w:eastAsia="宋体" w:cs="Times New Roman"/>
                <w:bCs/>
                <w:color w:val="auto"/>
                <w:sz w:val="24"/>
                <w:szCs w:val="24"/>
                <w:highlight w:val="none"/>
              </w:rPr>
              <w:t>项目产生的固体废物</w:t>
            </w:r>
            <w:r>
              <w:rPr>
                <w:rFonts w:hint="default" w:ascii="Times New Roman" w:hAnsi="Times New Roman" w:eastAsia="宋体" w:cs="Times New Roman"/>
                <w:bCs/>
                <w:color w:val="auto"/>
                <w:sz w:val="24"/>
                <w:szCs w:val="24"/>
                <w:highlight w:val="none"/>
                <w:lang w:val="en-US" w:eastAsia="zh-CN"/>
              </w:rPr>
              <w:t>包括</w:t>
            </w:r>
            <w:r>
              <w:rPr>
                <w:rFonts w:hint="default" w:ascii="Times New Roman" w:hAnsi="Times New Roman" w:eastAsia="宋体" w:cs="Times New Roman"/>
                <w:bCs/>
                <w:color w:val="auto"/>
                <w:sz w:val="24"/>
                <w:szCs w:val="24"/>
                <w:highlight w:val="none"/>
              </w:rPr>
              <w:t>生活垃圾</w:t>
            </w:r>
            <w:r>
              <w:rPr>
                <w:rFonts w:hint="default" w:ascii="Times New Roman" w:hAnsi="Times New Roman" w:eastAsia="宋体" w:cs="Times New Roman"/>
                <w:bCs/>
                <w:color w:val="auto"/>
                <w:sz w:val="24"/>
                <w:szCs w:val="24"/>
                <w:highlight w:val="none"/>
                <w:lang w:val="en-US" w:eastAsia="zh-CN"/>
              </w:rPr>
              <w:t>、一般工业固体废物、危险废物</w:t>
            </w:r>
            <w:r>
              <w:rPr>
                <w:rFonts w:hint="default" w:ascii="Times New Roman" w:hAnsi="Times New Roman" w:eastAsia="宋体" w:cs="Times New Roman"/>
                <w:bCs/>
                <w:color w:val="auto"/>
                <w:sz w:val="24"/>
                <w:szCs w:val="24"/>
                <w:highlight w:val="none"/>
              </w:rPr>
              <w:t>。</w:t>
            </w:r>
          </w:p>
          <w:p w14:paraId="0AF971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生活垃圾</w:t>
            </w:r>
          </w:p>
          <w:p w14:paraId="00128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本项目员工</w:t>
            </w:r>
            <w:r>
              <w:rPr>
                <w:rFonts w:hint="eastAsia" w:cs="Times New Roman"/>
                <w:b w:val="0"/>
                <w:bCs w:val="0"/>
                <w:color w:val="auto"/>
                <w:sz w:val="24"/>
                <w:szCs w:val="24"/>
                <w:highlight w:val="none"/>
                <w:lang w:val="en-US" w:eastAsia="zh-CN"/>
              </w:rPr>
              <w:t>85</w:t>
            </w:r>
            <w:r>
              <w:rPr>
                <w:rFonts w:hint="default" w:ascii="Times New Roman" w:hAnsi="Times New Roman" w:eastAsia="宋体" w:cs="Times New Roman"/>
                <w:b w:val="0"/>
                <w:bCs w:val="0"/>
                <w:color w:val="auto"/>
                <w:sz w:val="24"/>
                <w:szCs w:val="24"/>
                <w:highlight w:val="none"/>
                <w:lang w:val="en-US" w:eastAsia="zh-CN"/>
              </w:rPr>
              <w:t>人，</w:t>
            </w:r>
            <w:r>
              <w:rPr>
                <w:rFonts w:hint="default" w:ascii="Times New Roman" w:hAnsi="Times New Roman" w:eastAsia="宋体" w:cs="Times New Roman"/>
                <w:b w:val="0"/>
                <w:bCs w:val="0"/>
                <w:color w:val="auto"/>
                <w:sz w:val="24"/>
                <w:szCs w:val="24"/>
                <w:highlight w:val="none"/>
              </w:rPr>
              <w:t>人均生活垃圾产生量0.5kg/人•d 计，则生活垃圾产生量为</w:t>
            </w:r>
            <w:r>
              <w:rPr>
                <w:rFonts w:hint="eastAsia" w:cs="Times New Roman"/>
                <w:b w:val="0"/>
                <w:bCs w:val="0"/>
                <w:color w:val="auto"/>
                <w:sz w:val="24"/>
                <w:szCs w:val="24"/>
                <w:highlight w:val="none"/>
                <w:lang w:val="en-US" w:eastAsia="zh-CN"/>
              </w:rPr>
              <w:t>12.75</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val="en-US" w:eastAsia="zh-CN"/>
              </w:rPr>
              <w:t>分类收集</w:t>
            </w:r>
            <w:r>
              <w:rPr>
                <w:rFonts w:hint="default" w:ascii="Times New Roman" w:hAnsi="Times New Roman" w:eastAsia="宋体" w:cs="Times New Roman"/>
                <w:b w:val="0"/>
                <w:bCs w:val="0"/>
                <w:color w:val="auto"/>
                <w:sz w:val="24"/>
                <w:szCs w:val="24"/>
                <w:highlight w:val="none"/>
              </w:rPr>
              <w:t>由环卫部门处置</w:t>
            </w:r>
            <w:r>
              <w:rPr>
                <w:rFonts w:hint="default" w:ascii="Times New Roman" w:hAnsi="Times New Roman" w:eastAsia="宋体" w:cs="Times New Roman"/>
                <w:b w:val="0"/>
                <w:bCs w:val="0"/>
                <w:color w:val="auto"/>
                <w:sz w:val="24"/>
                <w:szCs w:val="24"/>
                <w:highlight w:val="none"/>
                <w:lang w:val="en-US" w:eastAsia="zh-CN"/>
              </w:rPr>
              <w:t>。</w:t>
            </w:r>
          </w:p>
          <w:p w14:paraId="3EEDD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一般工业固体废物</w:t>
            </w:r>
          </w:p>
          <w:p w14:paraId="74AE5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①废原料包装桶：</w:t>
            </w:r>
            <w:r>
              <w:rPr>
                <w:rFonts w:hint="eastAsia" w:cs="Times New Roman"/>
                <w:color w:val="auto"/>
                <w:kern w:val="0"/>
                <w:sz w:val="24"/>
                <w:szCs w:val="24"/>
                <w:highlight w:val="none"/>
                <w:lang w:val="en-US" w:eastAsia="zh-CN" w:bidi="ar"/>
              </w:rPr>
              <w:t>根据建设单位提供资料</w:t>
            </w:r>
            <w:r>
              <w:rPr>
                <w:rFonts w:hint="default" w:ascii="Times New Roman" w:hAnsi="Times New Roman" w:eastAsia="宋体" w:cs="Times New Roman"/>
                <w:color w:val="auto"/>
                <w:kern w:val="0"/>
                <w:sz w:val="24"/>
                <w:szCs w:val="24"/>
                <w:highlight w:val="none"/>
                <w:lang w:val="en-US" w:eastAsia="zh-CN" w:bidi="ar"/>
              </w:rPr>
              <w:t>，本项目</w:t>
            </w:r>
            <w:r>
              <w:rPr>
                <w:rFonts w:hint="eastAsia" w:cs="Times New Roman"/>
                <w:b w:val="0"/>
                <w:bCs w:val="0"/>
                <w:color w:val="auto"/>
                <w:sz w:val="24"/>
                <w:szCs w:val="24"/>
                <w:highlight w:val="none"/>
                <w:lang w:val="en-US" w:eastAsia="zh-CN"/>
              </w:rPr>
              <w:t>废原料包装桶产生量为640t/a，收集后暂存于一般固废暂存区，定期由原料供应单位回收再利用。</w:t>
            </w:r>
          </w:p>
          <w:p w14:paraId="5C9BCC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lang w:val="en-US" w:eastAsia="zh-CN"/>
              </w:rPr>
              <w:t>废边角料和废</w:t>
            </w:r>
            <w:r>
              <w:rPr>
                <w:rFonts w:hint="eastAsia" w:cs="Times New Roman"/>
                <w:b w:val="0"/>
                <w:bCs w:val="0"/>
                <w:color w:val="auto"/>
                <w:sz w:val="24"/>
                <w:szCs w:val="24"/>
                <w:highlight w:val="none"/>
                <w:lang w:val="en-US" w:eastAsia="zh-CN"/>
              </w:rPr>
              <w:t>金属</w:t>
            </w:r>
            <w:r>
              <w:rPr>
                <w:rFonts w:hint="default" w:ascii="Times New Roman" w:hAnsi="Times New Roman" w:eastAsia="宋体" w:cs="Times New Roman"/>
                <w:b w:val="0"/>
                <w:bCs w:val="0"/>
                <w:color w:val="auto"/>
                <w:sz w:val="24"/>
                <w:szCs w:val="24"/>
                <w:highlight w:val="none"/>
                <w:lang w:val="en-US" w:eastAsia="zh-CN"/>
              </w:rPr>
              <w:t>屑：</w:t>
            </w:r>
            <w:r>
              <w:rPr>
                <w:rFonts w:hint="eastAsia" w:cs="Times New Roman"/>
                <w:color w:val="auto"/>
                <w:kern w:val="0"/>
                <w:sz w:val="24"/>
                <w:szCs w:val="24"/>
                <w:highlight w:val="none"/>
                <w:lang w:val="en-US" w:eastAsia="zh-CN" w:bidi="ar"/>
              </w:rPr>
              <w:t>根据建设单位提供资料</w:t>
            </w:r>
            <w:r>
              <w:rPr>
                <w:rFonts w:hint="default" w:ascii="Times New Roman" w:hAnsi="Times New Roman" w:eastAsia="宋体" w:cs="Times New Roman"/>
                <w:color w:val="auto"/>
                <w:kern w:val="0"/>
                <w:sz w:val="24"/>
                <w:szCs w:val="24"/>
                <w:highlight w:val="none"/>
                <w:lang w:val="en-US" w:eastAsia="zh-CN" w:bidi="ar"/>
              </w:rPr>
              <w:t>，本项目</w:t>
            </w:r>
            <w:r>
              <w:rPr>
                <w:rFonts w:hint="default" w:ascii="Times New Roman" w:hAnsi="Times New Roman" w:eastAsia="宋体" w:cs="Times New Roman"/>
                <w:b w:val="0"/>
                <w:bCs w:val="0"/>
                <w:color w:val="auto"/>
                <w:sz w:val="24"/>
                <w:szCs w:val="24"/>
                <w:highlight w:val="none"/>
                <w:lang w:val="en-US" w:eastAsia="zh-CN"/>
              </w:rPr>
              <w:t>废边角料和废</w:t>
            </w:r>
            <w:r>
              <w:rPr>
                <w:rFonts w:hint="eastAsia" w:cs="Times New Roman"/>
                <w:b w:val="0"/>
                <w:bCs w:val="0"/>
                <w:color w:val="auto"/>
                <w:sz w:val="24"/>
                <w:szCs w:val="24"/>
                <w:highlight w:val="none"/>
                <w:lang w:val="en-US" w:eastAsia="zh-CN"/>
              </w:rPr>
              <w:t>金属</w:t>
            </w:r>
            <w:r>
              <w:rPr>
                <w:rFonts w:hint="default" w:ascii="Times New Roman" w:hAnsi="Times New Roman" w:eastAsia="宋体" w:cs="Times New Roman"/>
                <w:b w:val="0"/>
                <w:bCs w:val="0"/>
                <w:color w:val="auto"/>
                <w:sz w:val="24"/>
                <w:szCs w:val="24"/>
                <w:highlight w:val="none"/>
                <w:lang w:val="en-US" w:eastAsia="zh-CN"/>
              </w:rPr>
              <w:t>屑</w:t>
            </w:r>
            <w:r>
              <w:rPr>
                <w:rFonts w:hint="eastAsia" w:ascii="Times New Roman" w:hAnsi="Times New Roman" w:eastAsia="宋体" w:cs="Times New Roman"/>
                <w:b w:val="0"/>
                <w:bCs w:val="0"/>
                <w:color w:val="auto"/>
                <w:sz w:val="24"/>
                <w:szCs w:val="24"/>
                <w:highlight w:val="none"/>
                <w:lang w:val="en-US" w:eastAsia="zh-CN"/>
              </w:rPr>
              <w:t>产生</w:t>
            </w:r>
            <w:r>
              <w:rPr>
                <w:rFonts w:hint="default" w:ascii="Times New Roman" w:hAnsi="Times New Roman" w:eastAsia="宋体" w:cs="Times New Roman"/>
                <w:color w:val="auto"/>
                <w:kern w:val="0"/>
                <w:sz w:val="24"/>
                <w:szCs w:val="24"/>
                <w:highlight w:val="none"/>
                <w:lang w:val="en-US" w:eastAsia="zh-CN" w:bidi="ar"/>
              </w:rPr>
              <w:t>量约</w:t>
            </w:r>
            <w:r>
              <w:rPr>
                <w:rFonts w:hint="eastAsia" w:cs="Times New Roman"/>
                <w:color w:val="auto"/>
                <w:kern w:val="0"/>
                <w:sz w:val="24"/>
                <w:szCs w:val="24"/>
                <w:highlight w:val="none"/>
                <w:lang w:val="en-US" w:eastAsia="zh-CN" w:bidi="ar"/>
              </w:rPr>
              <w:t>300</w:t>
            </w:r>
            <w:r>
              <w:rPr>
                <w:rFonts w:hint="default" w:ascii="Times New Roman" w:hAnsi="Times New Roman" w:eastAsia="宋体" w:cs="Times New Roman"/>
                <w:color w:val="auto"/>
                <w:kern w:val="0"/>
                <w:sz w:val="24"/>
                <w:szCs w:val="24"/>
                <w:highlight w:val="none"/>
                <w:lang w:val="en-US" w:eastAsia="zh-CN" w:bidi="ar"/>
              </w:rPr>
              <w:t xml:space="preserve"> t/a，</w:t>
            </w:r>
            <w:r>
              <w:rPr>
                <w:rFonts w:hint="eastAsia" w:cs="Times New Roman"/>
                <w:color w:val="auto"/>
                <w:sz w:val="24"/>
                <w:szCs w:val="24"/>
                <w:highlight w:val="none"/>
                <w:lang w:val="en-US" w:eastAsia="zh-CN"/>
              </w:rPr>
              <w:t>收集后暂存于一般固废暂存区，外售处置</w:t>
            </w:r>
            <w:r>
              <w:rPr>
                <w:rFonts w:hint="default" w:ascii="Times New Roman" w:hAnsi="Times New Roman" w:eastAsia="宋体" w:cs="Times New Roman"/>
                <w:color w:val="auto"/>
                <w:kern w:val="0"/>
                <w:sz w:val="24"/>
                <w:szCs w:val="24"/>
                <w:highlight w:val="none"/>
                <w:lang w:val="en-US" w:eastAsia="zh-CN" w:bidi="ar"/>
              </w:rPr>
              <w:t>。</w:t>
            </w:r>
          </w:p>
          <w:p w14:paraId="2E17E9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③不合格品：</w:t>
            </w:r>
            <w:r>
              <w:rPr>
                <w:rFonts w:hint="eastAsia" w:cs="Times New Roman"/>
                <w:color w:val="auto"/>
                <w:kern w:val="0"/>
                <w:sz w:val="24"/>
                <w:szCs w:val="24"/>
                <w:highlight w:val="none"/>
                <w:lang w:val="en-US" w:eastAsia="zh-CN" w:bidi="ar"/>
              </w:rPr>
              <w:t>根据建设单位提供资料</w:t>
            </w:r>
            <w:r>
              <w:rPr>
                <w:rFonts w:hint="default" w:ascii="Times New Roman" w:hAnsi="Times New Roman" w:eastAsia="宋体" w:cs="Times New Roman"/>
                <w:color w:val="auto"/>
                <w:kern w:val="0"/>
                <w:sz w:val="24"/>
                <w:szCs w:val="24"/>
                <w:highlight w:val="none"/>
                <w:lang w:val="en-US" w:eastAsia="zh-CN" w:bidi="ar"/>
              </w:rPr>
              <w:t>，本项目</w:t>
            </w:r>
            <w:r>
              <w:rPr>
                <w:rFonts w:hint="default" w:ascii="Times New Roman" w:hAnsi="Times New Roman" w:eastAsia="宋体" w:cs="Times New Roman"/>
                <w:b w:val="0"/>
                <w:bCs w:val="0"/>
                <w:color w:val="auto"/>
                <w:sz w:val="24"/>
                <w:szCs w:val="24"/>
                <w:highlight w:val="none"/>
                <w:lang w:val="en-US" w:eastAsia="zh-CN"/>
              </w:rPr>
              <w:t>废边角料和废</w:t>
            </w:r>
            <w:r>
              <w:rPr>
                <w:rFonts w:hint="eastAsia" w:cs="Times New Roman"/>
                <w:b w:val="0"/>
                <w:bCs w:val="0"/>
                <w:color w:val="auto"/>
                <w:sz w:val="24"/>
                <w:szCs w:val="24"/>
                <w:highlight w:val="none"/>
                <w:lang w:val="en-US" w:eastAsia="zh-CN"/>
              </w:rPr>
              <w:t>金属</w:t>
            </w:r>
            <w:r>
              <w:rPr>
                <w:rFonts w:hint="default" w:ascii="Times New Roman" w:hAnsi="Times New Roman" w:eastAsia="宋体" w:cs="Times New Roman"/>
                <w:b w:val="0"/>
                <w:bCs w:val="0"/>
                <w:color w:val="auto"/>
                <w:sz w:val="24"/>
                <w:szCs w:val="24"/>
                <w:highlight w:val="none"/>
                <w:lang w:val="en-US" w:eastAsia="zh-CN"/>
              </w:rPr>
              <w:t>屑</w:t>
            </w:r>
            <w:r>
              <w:rPr>
                <w:rFonts w:hint="eastAsia" w:ascii="Times New Roman" w:hAnsi="Times New Roman" w:eastAsia="宋体" w:cs="Times New Roman"/>
                <w:b w:val="0"/>
                <w:bCs w:val="0"/>
                <w:color w:val="auto"/>
                <w:sz w:val="24"/>
                <w:szCs w:val="24"/>
                <w:highlight w:val="none"/>
                <w:lang w:val="en-US" w:eastAsia="zh-CN"/>
              </w:rPr>
              <w:t>产生</w:t>
            </w:r>
            <w:r>
              <w:rPr>
                <w:rFonts w:hint="default" w:ascii="Times New Roman" w:hAnsi="Times New Roman" w:eastAsia="宋体" w:cs="Times New Roman"/>
                <w:color w:val="auto"/>
                <w:kern w:val="0"/>
                <w:sz w:val="24"/>
                <w:szCs w:val="24"/>
                <w:highlight w:val="none"/>
                <w:lang w:val="en-US" w:eastAsia="zh-CN" w:bidi="ar"/>
              </w:rPr>
              <w:t>量约</w:t>
            </w:r>
            <w:r>
              <w:rPr>
                <w:rFonts w:hint="eastAsia" w:cs="Times New Roman"/>
                <w:color w:val="auto"/>
                <w:kern w:val="0"/>
                <w:sz w:val="24"/>
                <w:szCs w:val="24"/>
                <w:highlight w:val="none"/>
                <w:lang w:val="en-US" w:eastAsia="zh-CN" w:bidi="ar"/>
              </w:rPr>
              <w:t>20</w:t>
            </w:r>
            <w:r>
              <w:rPr>
                <w:rFonts w:hint="default" w:ascii="Times New Roman" w:hAnsi="Times New Roman" w:eastAsia="宋体" w:cs="Times New Roman"/>
                <w:color w:val="auto"/>
                <w:kern w:val="0"/>
                <w:sz w:val="24"/>
                <w:szCs w:val="24"/>
                <w:highlight w:val="none"/>
                <w:lang w:val="en-US" w:eastAsia="zh-CN" w:bidi="ar"/>
              </w:rPr>
              <w:t xml:space="preserve"> t/a，</w:t>
            </w:r>
            <w:r>
              <w:rPr>
                <w:rFonts w:hint="eastAsia" w:cs="Times New Roman"/>
                <w:color w:val="auto"/>
                <w:sz w:val="24"/>
                <w:szCs w:val="24"/>
                <w:highlight w:val="none"/>
                <w:lang w:val="en-US" w:eastAsia="zh-CN"/>
              </w:rPr>
              <w:t>收集后暂存于一般固废暂存区，外售处置</w:t>
            </w:r>
            <w:r>
              <w:rPr>
                <w:rFonts w:hint="default" w:ascii="Times New Roman" w:hAnsi="Times New Roman" w:eastAsia="宋体" w:cs="Times New Roman"/>
                <w:color w:val="auto"/>
                <w:kern w:val="0"/>
                <w:sz w:val="24"/>
                <w:szCs w:val="24"/>
                <w:highlight w:val="none"/>
                <w:lang w:val="en-US" w:eastAsia="zh-CN" w:bidi="ar"/>
              </w:rPr>
              <w:t>。</w:t>
            </w:r>
          </w:p>
          <w:p w14:paraId="6C9F06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w:t>
            </w:r>
          </w:p>
          <w:p w14:paraId="5B239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①废液压油</w:t>
            </w:r>
          </w:p>
          <w:p w14:paraId="58545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油压机设备使用液压油，液压油循环使用，需定期更换，废液压油产生量约为0.49 t/a，</w:t>
            </w:r>
            <w:r>
              <w:rPr>
                <w:rFonts w:hint="eastAsia" w:ascii="Times New Roman" w:hAnsi="Times New Roman" w:eastAsia="宋体" w:cs="Times New Roman"/>
                <w:b w:val="0"/>
                <w:bCs w:val="0"/>
                <w:snapToGrid/>
                <w:color w:val="auto"/>
                <w:kern w:val="2"/>
                <w:sz w:val="24"/>
                <w:szCs w:val="24"/>
                <w:highlight w:val="none"/>
                <w:lang w:val="en-US" w:eastAsia="zh-CN"/>
              </w:rPr>
              <w:t>根据</w:t>
            </w:r>
            <w:r>
              <w:rPr>
                <w:rFonts w:hint="default" w:ascii="Times New Roman" w:hAnsi="Times New Roman" w:eastAsia="宋体" w:cs="Times New Roman"/>
                <w:b w:val="0"/>
                <w:bCs w:val="0"/>
                <w:snapToGrid/>
                <w:color w:val="auto"/>
                <w:kern w:val="2"/>
                <w:sz w:val="24"/>
                <w:szCs w:val="24"/>
                <w:highlight w:val="none"/>
                <w:lang w:val="en-US" w:eastAsia="zh-CN"/>
              </w:rPr>
              <w:t>《国家危险废物名录》（2021年版）</w:t>
            </w:r>
            <w:r>
              <w:rPr>
                <w:rFonts w:hint="eastAsia" w:ascii="Times New Roman" w:hAnsi="Times New Roman" w:eastAsia="宋体" w:cs="Times New Roman"/>
                <w:b w:val="0"/>
                <w:bCs w:val="0"/>
                <w:snapToGrid/>
                <w:color w:val="auto"/>
                <w:kern w:val="2"/>
                <w:sz w:val="24"/>
                <w:szCs w:val="24"/>
                <w:highlight w:val="none"/>
                <w:lang w:val="en-US" w:eastAsia="zh-CN"/>
              </w:rPr>
              <w:t>，属于危险废物，</w:t>
            </w:r>
            <w:r>
              <w:rPr>
                <w:rFonts w:hint="default" w:ascii="Times New Roman" w:hAnsi="Times New Roman" w:eastAsia="宋体" w:cs="Times New Roman"/>
                <w:color w:val="auto"/>
                <w:sz w:val="24"/>
                <w:szCs w:val="24"/>
                <w:highlight w:val="none"/>
              </w:rPr>
              <w:t>废物类别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 w:val="0"/>
                <w:bCs w:val="0"/>
                <w:snapToGrid/>
                <w:color w:val="auto"/>
                <w:kern w:val="2"/>
                <w:sz w:val="24"/>
                <w:szCs w:val="24"/>
                <w:highlight w:val="none"/>
                <w:lang w:val="en-US" w:eastAsia="zh-CN"/>
              </w:rPr>
              <w:t>HW08，废物代码为900-218-08。废液压油暂存于</w:t>
            </w:r>
            <w:r>
              <w:rPr>
                <w:rFonts w:hint="eastAsia" w:ascii="Times New Roman" w:hAnsi="Times New Roman" w:eastAsia="宋体" w:cs="Times New Roman"/>
                <w:b w:val="0"/>
                <w:bCs w:val="0"/>
                <w:snapToGrid/>
                <w:color w:val="auto"/>
                <w:kern w:val="2"/>
                <w:sz w:val="24"/>
                <w:szCs w:val="24"/>
                <w:highlight w:val="none"/>
                <w:lang w:val="en-US" w:eastAsia="zh-CN"/>
              </w:rPr>
              <w:t>危废贮存库</w:t>
            </w:r>
            <w:r>
              <w:rPr>
                <w:rFonts w:hint="default" w:ascii="Times New Roman" w:hAnsi="Times New Roman" w:eastAsia="宋体" w:cs="Times New Roman"/>
                <w:b w:val="0"/>
                <w:bCs w:val="0"/>
                <w:snapToGrid/>
                <w:color w:val="auto"/>
                <w:kern w:val="2"/>
                <w:sz w:val="24"/>
                <w:szCs w:val="24"/>
                <w:highlight w:val="none"/>
                <w:lang w:val="en-US" w:eastAsia="zh-CN"/>
              </w:rPr>
              <w:t>，定期交由资质单位处置。</w:t>
            </w:r>
          </w:p>
          <w:p w14:paraId="414BF4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②废真空泵油</w:t>
            </w:r>
          </w:p>
          <w:p w14:paraId="4A45C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真空等离子弧焊机和真空自耗电弧炉均自带真空设备，需使用真空泵油，真空泵油循环使用，需定期更换，产生量约为0.5 t/a，</w:t>
            </w:r>
            <w:r>
              <w:rPr>
                <w:rFonts w:hint="eastAsia" w:ascii="Times New Roman" w:hAnsi="Times New Roman" w:eastAsia="宋体" w:cs="Times New Roman"/>
                <w:b w:val="0"/>
                <w:bCs w:val="0"/>
                <w:snapToGrid/>
                <w:color w:val="auto"/>
                <w:kern w:val="2"/>
                <w:sz w:val="24"/>
                <w:szCs w:val="24"/>
                <w:highlight w:val="none"/>
                <w:lang w:val="en-US" w:eastAsia="zh-CN"/>
              </w:rPr>
              <w:t>根据</w:t>
            </w:r>
            <w:r>
              <w:rPr>
                <w:rFonts w:hint="default" w:ascii="Times New Roman" w:hAnsi="Times New Roman" w:eastAsia="宋体" w:cs="Times New Roman"/>
                <w:b w:val="0"/>
                <w:bCs w:val="0"/>
                <w:snapToGrid/>
                <w:color w:val="auto"/>
                <w:kern w:val="2"/>
                <w:sz w:val="24"/>
                <w:szCs w:val="24"/>
                <w:highlight w:val="none"/>
                <w:lang w:val="en-US" w:eastAsia="zh-CN"/>
              </w:rPr>
              <w:t>《国家危险废物名录》（2021年版）</w:t>
            </w:r>
            <w:r>
              <w:rPr>
                <w:rFonts w:hint="eastAsia" w:ascii="Times New Roman" w:hAnsi="Times New Roman" w:eastAsia="宋体" w:cs="Times New Roman"/>
                <w:b w:val="0"/>
                <w:bCs w:val="0"/>
                <w:snapToGrid/>
                <w:color w:val="auto"/>
                <w:kern w:val="2"/>
                <w:sz w:val="24"/>
                <w:szCs w:val="24"/>
                <w:highlight w:val="none"/>
                <w:lang w:val="en-US" w:eastAsia="zh-CN"/>
              </w:rPr>
              <w:t>，属于危险废物，</w:t>
            </w:r>
            <w:r>
              <w:rPr>
                <w:rFonts w:hint="default" w:ascii="Times New Roman" w:hAnsi="Times New Roman" w:eastAsia="宋体" w:cs="Times New Roman"/>
                <w:color w:val="auto"/>
                <w:sz w:val="24"/>
                <w:szCs w:val="24"/>
                <w:highlight w:val="none"/>
              </w:rPr>
              <w:t>废物类别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 w:val="0"/>
                <w:bCs w:val="0"/>
                <w:snapToGrid/>
                <w:color w:val="auto"/>
                <w:kern w:val="2"/>
                <w:sz w:val="24"/>
                <w:szCs w:val="24"/>
                <w:highlight w:val="none"/>
                <w:lang w:val="en-US" w:eastAsia="zh-CN"/>
              </w:rPr>
              <w:t>HW08，废物代码为900-214-08。废真空泵油暂存于</w:t>
            </w:r>
            <w:r>
              <w:rPr>
                <w:rFonts w:hint="eastAsia" w:ascii="Times New Roman" w:hAnsi="Times New Roman" w:eastAsia="宋体" w:cs="Times New Roman"/>
                <w:b w:val="0"/>
                <w:bCs w:val="0"/>
                <w:snapToGrid/>
                <w:color w:val="auto"/>
                <w:kern w:val="2"/>
                <w:sz w:val="24"/>
                <w:szCs w:val="24"/>
                <w:highlight w:val="none"/>
                <w:lang w:val="en-US" w:eastAsia="zh-CN"/>
              </w:rPr>
              <w:t>危废贮存库</w:t>
            </w:r>
            <w:r>
              <w:rPr>
                <w:rFonts w:hint="default" w:ascii="Times New Roman" w:hAnsi="Times New Roman" w:eastAsia="宋体" w:cs="Times New Roman"/>
                <w:b w:val="0"/>
                <w:bCs w:val="0"/>
                <w:snapToGrid/>
                <w:color w:val="auto"/>
                <w:kern w:val="2"/>
                <w:sz w:val="24"/>
                <w:szCs w:val="24"/>
                <w:highlight w:val="none"/>
                <w:lang w:val="en-US" w:eastAsia="zh-CN"/>
              </w:rPr>
              <w:t>，定期交由危废资质单位处置。</w:t>
            </w:r>
          </w:p>
          <w:p w14:paraId="1A1D7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③废润滑油</w:t>
            </w:r>
          </w:p>
          <w:p w14:paraId="73F5A7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本项目机械设备需要定期维护修养，维修过程中需要更换润滑油，废润滑油产生量约为0.01t/a。</w:t>
            </w:r>
            <w:r>
              <w:rPr>
                <w:rFonts w:hint="eastAsia" w:ascii="Times New Roman" w:hAnsi="Times New Roman" w:eastAsia="宋体" w:cs="Times New Roman"/>
                <w:b w:val="0"/>
                <w:bCs w:val="0"/>
                <w:snapToGrid/>
                <w:color w:val="auto"/>
                <w:kern w:val="2"/>
                <w:sz w:val="24"/>
                <w:szCs w:val="24"/>
                <w:highlight w:val="none"/>
                <w:lang w:val="en-US" w:eastAsia="zh-CN"/>
              </w:rPr>
              <w:t>根据</w:t>
            </w:r>
            <w:r>
              <w:rPr>
                <w:rFonts w:hint="default" w:ascii="Times New Roman" w:hAnsi="Times New Roman" w:eastAsia="宋体" w:cs="Times New Roman"/>
                <w:b w:val="0"/>
                <w:bCs w:val="0"/>
                <w:snapToGrid/>
                <w:color w:val="auto"/>
                <w:kern w:val="2"/>
                <w:sz w:val="24"/>
                <w:szCs w:val="24"/>
                <w:highlight w:val="none"/>
                <w:lang w:val="en-US" w:eastAsia="zh-CN"/>
              </w:rPr>
              <w:t>《国家危险废物名录》（2021年版）</w:t>
            </w:r>
            <w:r>
              <w:rPr>
                <w:rFonts w:hint="eastAsia" w:ascii="Times New Roman" w:hAnsi="Times New Roman" w:eastAsia="宋体" w:cs="Times New Roman"/>
                <w:b w:val="0"/>
                <w:bCs w:val="0"/>
                <w:snapToGrid/>
                <w:color w:val="auto"/>
                <w:kern w:val="2"/>
                <w:sz w:val="24"/>
                <w:szCs w:val="24"/>
                <w:highlight w:val="none"/>
                <w:lang w:val="en-US" w:eastAsia="zh-CN"/>
              </w:rPr>
              <w:t>，属于危险废物，</w:t>
            </w:r>
            <w:r>
              <w:rPr>
                <w:rFonts w:hint="default" w:ascii="Times New Roman" w:hAnsi="Times New Roman" w:eastAsia="宋体" w:cs="Times New Roman"/>
                <w:color w:val="auto"/>
                <w:sz w:val="24"/>
                <w:szCs w:val="24"/>
                <w:highlight w:val="none"/>
              </w:rPr>
              <w:t>废物类别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 w:val="0"/>
                <w:bCs w:val="0"/>
                <w:snapToGrid/>
                <w:color w:val="auto"/>
                <w:kern w:val="2"/>
                <w:sz w:val="24"/>
                <w:szCs w:val="24"/>
                <w:highlight w:val="none"/>
                <w:lang w:val="en-US" w:eastAsia="zh-CN"/>
              </w:rPr>
              <w:t>HW08，废物代码为900-214-08。废润滑油暂存于</w:t>
            </w:r>
            <w:r>
              <w:rPr>
                <w:rFonts w:hint="eastAsia" w:ascii="Times New Roman" w:hAnsi="Times New Roman" w:eastAsia="宋体" w:cs="Times New Roman"/>
                <w:b w:val="0"/>
                <w:bCs w:val="0"/>
                <w:snapToGrid/>
                <w:color w:val="auto"/>
                <w:kern w:val="2"/>
                <w:sz w:val="24"/>
                <w:szCs w:val="24"/>
                <w:highlight w:val="none"/>
                <w:lang w:val="en-US" w:eastAsia="zh-CN"/>
              </w:rPr>
              <w:t>危废贮存库</w:t>
            </w:r>
            <w:r>
              <w:rPr>
                <w:rFonts w:hint="default" w:ascii="Times New Roman" w:hAnsi="Times New Roman" w:eastAsia="宋体" w:cs="Times New Roman"/>
                <w:b w:val="0"/>
                <w:bCs w:val="0"/>
                <w:snapToGrid/>
                <w:color w:val="auto"/>
                <w:kern w:val="2"/>
                <w:sz w:val="24"/>
                <w:szCs w:val="24"/>
                <w:highlight w:val="none"/>
                <w:lang w:val="en-US" w:eastAsia="zh-CN"/>
              </w:rPr>
              <w:t>，定期交由资质单位处置。</w:t>
            </w:r>
          </w:p>
          <w:p w14:paraId="47814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④</w:t>
            </w:r>
            <w:r>
              <w:rPr>
                <w:rFonts w:hint="eastAsia" w:ascii="Times New Roman" w:hAnsi="Times New Roman" w:eastAsia="宋体" w:cs="Times New Roman"/>
                <w:b w:val="0"/>
                <w:bCs w:val="0"/>
                <w:snapToGrid/>
                <w:color w:val="auto"/>
                <w:kern w:val="2"/>
                <w:sz w:val="24"/>
                <w:szCs w:val="24"/>
                <w:highlight w:val="none"/>
                <w:lang w:val="en-US" w:eastAsia="zh-CN"/>
              </w:rPr>
              <w:t>废</w:t>
            </w:r>
            <w:r>
              <w:rPr>
                <w:rFonts w:hint="default" w:ascii="Times New Roman" w:hAnsi="Times New Roman" w:eastAsia="宋体" w:cs="Times New Roman"/>
                <w:b w:val="0"/>
                <w:bCs w:val="0"/>
                <w:snapToGrid/>
                <w:color w:val="auto"/>
                <w:kern w:val="2"/>
                <w:sz w:val="24"/>
                <w:szCs w:val="24"/>
                <w:highlight w:val="none"/>
                <w:lang w:val="en-US" w:eastAsia="zh-CN"/>
              </w:rPr>
              <w:t>油桶</w:t>
            </w:r>
          </w:p>
          <w:p w14:paraId="0AEB3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本项目</w:t>
            </w:r>
            <w:r>
              <w:rPr>
                <w:rFonts w:hint="default" w:ascii="Times New Roman" w:hAnsi="Times New Roman" w:eastAsia="宋体" w:cs="Times New Roman"/>
                <w:color w:val="auto"/>
                <w:sz w:val="24"/>
                <w:szCs w:val="24"/>
                <w:highlight w:val="none"/>
              </w:rPr>
              <w:t>废油桶产生量为</w:t>
            </w:r>
            <w:r>
              <w:rPr>
                <w:rFonts w:hint="default" w:ascii="Times New Roman" w:hAnsi="Times New Roman" w:eastAsia="宋体" w:cs="Times New Roman"/>
                <w:b w:val="0"/>
                <w:bCs w:val="0"/>
                <w:snapToGrid/>
                <w:color w:val="auto"/>
                <w:kern w:val="2"/>
                <w:sz w:val="24"/>
                <w:szCs w:val="24"/>
                <w:highlight w:val="none"/>
                <w:lang w:val="en-US" w:eastAsia="zh-CN"/>
              </w:rPr>
              <w:t>0</w:t>
            </w:r>
            <w:r>
              <w:rPr>
                <w:rFonts w:hint="eastAsia" w:ascii="Times New Roman" w:hAnsi="Times New Roman" w:eastAsia="宋体" w:cs="Times New Roman"/>
                <w:b w:val="0"/>
                <w:bCs w:val="0"/>
                <w:snapToGrid/>
                <w:color w:val="auto"/>
                <w:kern w:val="2"/>
                <w:sz w:val="24"/>
                <w:szCs w:val="24"/>
                <w:highlight w:val="none"/>
                <w:lang w:val="en-US" w:eastAsia="zh-CN"/>
              </w:rPr>
              <w:t>.2</w:t>
            </w:r>
            <w:r>
              <w:rPr>
                <w:rFonts w:hint="default" w:ascii="Times New Roman" w:hAnsi="Times New Roman" w:eastAsia="宋体" w:cs="Times New Roman"/>
                <w:b w:val="0"/>
                <w:bCs w:val="0"/>
                <w:snapToGrid/>
                <w:color w:val="auto"/>
                <w:kern w:val="2"/>
                <w:sz w:val="24"/>
                <w:szCs w:val="24"/>
                <w:highlight w:val="none"/>
                <w:lang w:val="en-US" w:eastAsia="zh-CN"/>
              </w:rPr>
              <w:t xml:space="preserve"> t/a，</w:t>
            </w:r>
            <w:r>
              <w:rPr>
                <w:rFonts w:hint="default" w:ascii="Times New Roman" w:hAnsi="Times New Roman" w:eastAsia="宋体" w:cs="Times New Roman"/>
                <w:color w:val="auto"/>
                <w:sz w:val="24"/>
                <w:szCs w:val="24"/>
                <w:highlight w:val="none"/>
              </w:rPr>
              <w:t>根据《国家危险废物名录》（2021版），属于危险废物，废物类别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HW49，废物代码</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900-041-49，</w:t>
            </w:r>
            <w:r>
              <w:rPr>
                <w:rFonts w:hint="eastAsia" w:ascii="Times New Roman" w:hAnsi="Times New Roman" w:eastAsia="宋体" w:cs="Times New Roman"/>
                <w:b w:val="0"/>
                <w:bCs w:val="0"/>
                <w:snapToGrid/>
                <w:color w:val="auto"/>
                <w:kern w:val="2"/>
                <w:sz w:val="24"/>
                <w:szCs w:val="24"/>
                <w:highlight w:val="none"/>
                <w:lang w:val="en-US" w:eastAsia="zh-CN"/>
              </w:rPr>
              <w:t>废</w:t>
            </w:r>
            <w:r>
              <w:rPr>
                <w:rFonts w:hint="default" w:ascii="Times New Roman" w:hAnsi="Times New Roman" w:eastAsia="宋体" w:cs="Times New Roman"/>
                <w:b w:val="0"/>
                <w:bCs w:val="0"/>
                <w:snapToGrid/>
                <w:color w:val="auto"/>
                <w:kern w:val="2"/>
                <w:sz w:val="24"/>
                <w:szCs w:val="24"/>
                <w:highlight w:val="none"/>
                <w:lang w:val="en-US" w:eastAsia="zh-CN"/>
              </w:rPr>
              <w:t>油桶暂存于</w:t>
            </w:r>
            <w:r>
              <w:rPr>
                <w:rFonts w:hint="eastAsia" w:ascii="Times New Roman" w:hAnsi="Times New Roman" w:eastAsia="宋体" w:cs="Times New Roman"/>
                <w:b w:val="0"/>
                <w:bCs w:val="0"/>
                <w:snapToGrid/>
                <w:color w:val="auto"/>
                <w:kern w:val="2"/>
                <w:sz w:val="24"/>
                <w:szCs w:val="24"/>
                <w:highlight w:val="none"/>
                <w:lang w:val="en-US" w:eastAsia="zh-CN"/>
              </w:rPr>
              <w:t>危废贮存库</w:t>
            </w:r>
            <w:r>
              <w:rPr>
                <w:rFonts w:hint="default" w:ascii="Times New Roman" w:hAnsi="Times New Roman" w:eastAsia="宋体" w:cs="Times New Roman"/>
                <w:b w:val="0"/>
                <w:bCs w:val="0"/>
                <w:snapToGrid/>
                <w:color w:val="auto"/>
                <w:kern w:val="2"/>
                <w:sz w:val="24"/>
                <w:szCs w:val="24"/>
                <w:highlight w:val="none"/>
                <w:lang w:val="en-US" w:eastAsia="zh-CN"/>
              </w:rPr>
              <w:t>，定期交由资质单位处置。</w:t>
            </w:r>
          </w:p>
          <w:p w14:paraId="5B5F0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⑤废切削液</w:t>
            </w:r>
          </w:p>
          <w:p w14:paraId="5F11F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机加设备使用切削液进行冷却，循环使用定期更换废切削液，废切削液产生量约</w:t>
            </w:r>
            <w:r>
              <w:rPr>
                <w:rFonts w:hint="eastAsia" w:ascii="Times New Roman" w:hAnsi="Times New Roman" w:eastAsia="宋体" w:cs="Times New Roman"/>
                <w:b w:val="0"/>
                <w:bCs w:val="0"/>
                <w:snapToGrid/>
                <w:color w:val="auto"/>
                <w:kern w:val="2"/>
                <w:sz w:val="24"/>
                <w:szCs w:val="24"/>
                <w:highlight w:val="none"/>
                <w:lang w:val="en-US" w:eastAsia="zh-CN"/>
              </w:rPr>
              <w:t>为</w:t>
            </w:r>
            <w:r>
              <w:rPr>
                <w:rFonts w:hint="default" w:ascii="Times New Roman" w:hAnsi="Times New Roman" w:eastAsia="宋体" w:cs="Times New Roman"/>
                <w:b w:val="0"/>
                <w:bCs w:val="0"/>
                <w:snapToGrid/>
                <w:color w:val="auto"/>
                <w:kern w:val="2"/>
                <w:sz w:val="24"/>
                <w:szCs w:val="24"/>
                <w:highlight w:val="none"/>
                <w:lang w:val="en-US" w:eastAsia="zh-CN"/>
              </w:rPr>
              <w:t>1</w:t>
            </w:r>
            <w:r>
              <w:rPr>
                <w:rFonts w:hint="eastAsia" w:ascii="Times New Roman" w:hAnsi="Times New Roman" w:eastAsia="宋体" w:cs="Times New Roman"/>
                <w:b w:val="0"/>
                <w:bCs w:val="0"/>
                <w:snapToGrid/>
                <w:color w:val="auto"/>
                <w:kern w:val="2"/>
                <w:sz w:val="24"/>
                <w:szCs w:val="24"/>
                <w:highlight w:val="none"/>
                <w:lang w:val="en-US" w:eastAsia="zh-CN"/>
              </w:rPr>
              <w:t>.0</w:t>
            </w:r>
            <w:r>
              <w:rPr>
                <w:rFonts w:hint="default" w:ascii="Times New Roman" w:hAnsi="Times New Roman" w:eastAsia="宋体" w:cs="Times New Roman"/>
                <w:b w:val="0"/>
                <w:bCs w:val="0"/>
                <w:snapToGrid/>
                <w:color w:val="auto"/>
                <w:kern w:val="2"/>
                <w:sz w:val="24"/>
                <w:szCs w:val="24"/>
                <w:highlight w:val="none"/>
                <w:lang w:val="en-US" w:eastAsia="zh-CN"/>
              </w:rPr>
              <w:t xml:space="preserve"> t/a，</w:t>
            </w:r>
            <w:r>
              <w:rPr>
                <w:rFonts w:hint="eastAsia" w:ascii="Times New Roman" w:hAnsi="Times New Roman" w:eastAsia="宋体" w:cs="Times New Roman"/>
                <w:b w:val="0"/>
                <w:bCs w:val="0"/>
                <w:snapToGrid/>
                <w:color w:val="auto"/>
                <w:kern w:val="2"/>
                <w:sz w:val="24"/>
                <w:szCs w:val="24"/>
                <w:highlight w:val="none"/>
                <w:lang w:val="en-US" w:eastAsia="zh-CN"/>
              </w:rPr>
              <w:t>根据</w:t>
            </w:r>
            <w:r>
              <w:rPr>
                <w:rFonts w:hint="default" w:ascii="Times New Roman" w:hAnsi="Times New Roman" w:eastAsia="宋体" w:cs="Times New Roman"/>
                <w:b w:val="0"/>
                <w:bCs w:val="0"/>
                <w:snapToGrid/>
                <w:color w:val="auto"/>
                <w:kern w:val="2"/>
                <w:sz w:val="24"/>
                <w:szCs w:val="24"/>
                <w:highlight w:val="none"/>
                <w:lang w:val="en-US" w:eastAsia="zh-CN"/>
              </w:rPr>
              <w:t>《国家危险废物名录》（2021年版）</w:t>
            </w:r>
            <w:r>
              <w:rPr>
                <w:rFonts w:hint="eastAsia" w:ascii="Times New Roman" w:hAnsi="Times New Roman" w:eastAsia="宋体" w:cs="Times New Roman"/>
                <w:b w:val="0"/>
                <w:bCs w:val="0"/>
                <w:snapToGrid/>
                <w:color w:val="auto"/>
                <w:kern w:val="2"/>
                <w:sz w:val="24"/>
                <w:szCs w:val="24"/>
                <w:highlight w:val="none"/>
                <w:lang w:val="en-US" w:eastAsia="zh-CN"/>
              </w:rPr>
              <w:t>，</w:t>
            </w:r>
            <w:r>
              <w:rPr>
                <w:rFonts w:hint="default" w:ascii="Times New Roman" w:hAnsi="Times New Roman" w:eastAsia="宋体" w:cs="Times New Roman"/>
                <w:color w:val="auto"/>
                <w:sz w:val="24"/>
                <w:szCs w:val="24"/>
                <w:highlight w:val="none"/>
              </w:rPr>
              <w:t>属于危险废物，废物类别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 w:val="0"/>
                <w:bCs w:val="0"/>
                <w:snapToGrid/>
                <w:color w:val="auto"/>
                <w:kern w:val="2"/>
                <w:sz w:val="24"/>
                <w:szCs w:val="24"/>
                <w:highlight w:val="none"/>
                <w:lang w:val="en-US" w:eastAsia="zh-CN"/>
              </w:rPr>
              <w:t>HW09，废物代码为900-214-08</w:t>
            </w:r>
            <w:r>
              <w:rPr>
                <w:rFonts w:hint="eastAsia" w:ascii="Times New Roman" w:hAnsi="Times New Roman" w:eastAsia="宋体" w:cs="Times New Roman"/>
                <w:b w:val="0"/>
                <w:bCs w:val="0"/>
                <w:snapToGrid/>
                <w:color w:val="auto"/>
                <w:kern w:val="2"/>
                <w:sz w:val="24"/>
                <w:szCs w:val="24"/>
                <w:highlight w:val="none"/>
                <w:lang w:val="en-US" w:eastAsia="zh-CN"/>
              </w:rPr>
              <w:t>，</w:t>
            </w:r>
            <w:r>
              <w:rPr>
                <w:rFonts w:hint="default" w:ascii="Times New Roman" w:hAnsi="Times New Roman" w:eastAsia="宋体" w:cs="Times New Roman"/>
                <w:b w:val="0"/>
                <w:bCs w:val="0"/>
                <w:snapToGrid/>
                <w:color w:val="auto"/>
                <w:kern w:val="2"/>
                <w:sz w:val="24"/>
                <w:szCs w:val="24"/>
                <w:highlight w:val="none"/>
                <w:lang w:val="en-US" w:eastAsia="zh-CN"/>
              </w:rPr>
              <w:t>废切削液暂存于</w:t>
            </w:r>
            <w:r>
              <w:rPr>
                <w:rFonts w:hint="eastAsia" w:ascii="Times New Roman" w:hAnsi="Times New Roman" w:eastAsia="宋体" w:cs="Times New Roman"/>
                <w:b w:val="0"/>
                <w:bCs w:val="0"/>
                <w:snapToGrid/>
                <w:color w:val="auto"/>
                <w:kern w:val="2"/>
                <w:sz w:val="24"/>
                <w:szCs w:val="24"/>
                <w:highlight w:val="none"/>
                <w:lang w:val="en-US" w:eastAsia="zh-CN"/>
              </w:rPr>
              <w:t>危废贮存库</w:t>
            </w:r>
            <w:r>
              <w:rPr>
                <w:rFonts w:hint="default" w:ascii="Times New Roman" w:hAnsi="Times New Roman" w:eastAsia="宋体" w:cs="Times New Roman"/>
                <w:b w:val="0"/>
                <w:bCs w:val="0"/>
                <w:snapToGrid/>
                <w:color w:val="auto"/>
                <w:kern w:val="2"/>
                <w:sz w:val="24"/>
                <w:szCs w:val="24"/>
                <w:highlight w:val="none"/>
                <w:lang w:val="en-US" w:eastAsia="zh-CN"/>
              </w:rPr>
              <w:t>，定期交由资质单位处置。</w:t>
            </w:r>
          </w:p>
          <w:p w14:paraId="321468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snapToGrid/>
                <w:color w:val="auto"/>
                <w:kern w:val="2"/>
                <w:sz w:val="24"/>
                <w:szCs w:val="24"/>
                <w:highlight w:val="none"/>
                <w:lang w:val="en-US" w:eastAsia="zh-CN"/>
              </w:rPr>
            </w:pPr>
            <w:r>
              <w:rPr>
                <w:rFonts w:hint="default" w:ascii="Times New Roman" w:hAnsi="Times New Roman" w:eastAsia="宋体" w:cs="Times New Roman"/>
                <w:b w:val="0"/>
                <w:bCs w:val="0"/>
                <w:snapToGrid/>
                <w:color w:val="auto"/>
                <w:kern w:val="2"/>
                <w:sz w:val="24"/>
                <w:szCs w:val="24"/>
                <w:highlight w:val="none"/>
                <w:lang w:val="en-US" w:eastAsia="zh-CN"/>
              </w:rPr>
              <w:t>⑥含油废抹布手套</w:t>
            </w:r>
          </w:p>
          <w:p w14:paraId="7EED8DDB">
            <w:pPr>
              <w:pStyle w:val="79"/>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本项目运营期间设备检修等工序产生</w:t>
            </w:r>
            <w:r>
              <w:rPr>
                <w:rFonts w:hint="default" w:ascii="Times New Roman" w:hAnsi="Times New Roman" w:eastAsia="宋体" w:cs="Times New Roman"/>
                <w:color w:val="auto"/>
                <w:sz w:val="24"/>
                <w:szCs w:val="24"/>
                <w:highlight w:val="none"/>
                <w:lang w:eastAsia="zh-CN"/>
              </w:rPr>
              <w:t>废含油抹布、手套</w:t>
            </w:r>
            <w:r>
              <w:rPr>
                <w:rFonts w:hint="default" w:ascii="Times New Roman" w:hAnsi="Times New Roman" w:eastAsia="宋体" w:cs="Times New Roman"/>
                <w:color w:val="auto"/>
                <w:sz w:val="24"/>
                <w:szCs w:val="24"/>
                <w:highlight w:val="none"/>
              </w:rPr>
              <w:t>，产生量约0.</w:t>
            </w:r>
            <w:r>
              <w:rPr>
                <w:rFonts w:hint="default"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t/a，根据《国家危险废物名录》（2021版），属于危险废物，废物类别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HW49，废物代码</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900-041-49，由企业收集暂存于厂内</w:t>
            </w:r>
            <w:r>
              <w:rPr>
                <w:rFonts w:hint="default" w:ascii="Times New Roman" w:hAnsi="Times New Roman" w:eastAsia="宋体" w:cs="Times New Roman"/>
                <w:color w:val="auto"/>
                <w:sz w:val="24"/>
                <w:szCs w:val="24"/>
                <w:highlight w:val="none"/>
                <w:lang w:eastAsia="zh-CN"/>
              </w:rPr>
              <w:t>危废贮存库</w:t>
            </w:r>
            <w:r>
              <w:rPr>
                <w:rFonts w:hint="default" w:ascii="Times New Roman" w:hAnsi="Times New Roman" w:eastAsia="宋体" w:cs="Times New Roman"/>
                <w:color w:val="auto"/>
                <w:sz w:val="24"/>
                <w:szCs w:val="24"/>
                <w:highlight w:val="none"/>
              </w:rPr>
              <w:t>内，委托有资质单位进行处置。</w:t>
            </w:r>
          </w:p>
          <w:p w14:paraId="17AF9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b w:val="0"/>
                <w:bCs w:val="0"/>
                <w:snapToGrid/>
                <w:color w:val="auto"/>
                <w:kern w:val="2"/>
                <w:sz w:val="24"/>
                <w:szCs w:val="24"/>
                <w:highlight w:val="none"/>
                <w:lang w:val="en-US" w:eastAsia="zh-CN"/>
              </w:rPr>
              <w:t>⑦</w:t>
            </w:r>
            <w:r>
              <w:rPr>
                <w:rFonts w:hint="eastAsia" w:cs="Times New Roman"/>
                <w:color w:val="auto"/>
                <w:sz w:val="24"/>
                <w:szCs w:val="24"/>
                <w:highlight w:val="none"/>
                <w:lang w:val="en-US" w:eastAsia="zh-CN"/>
              </w:rPr>
              <w:t>样品废液</w:t>
            </w:r>
          </w:p>
          <w:p w14:paraId="7E0BEAA7">
            <w:pPr>
              <w:pStyle w:val="79"/>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本项目用ICP设备测定已制备好的样品溶液，完成试样中化学元素的检测工作，样品废液</w:t>
            </w:r>
            <w:r>
              <w:rPr>
                <w:rFonts w:hint="eastAsia" w:ascii="Times New Roman" w:hAnsi="Times New Roman" w:eastAsia="宋体" w:cs="Times New Roman"/>
                <w:color w:val="auto"/>
                <w:sz w:val="24"/>
                <w:szCs w:val="24"/>
                <w:highlight w:val="none"/>
                <w:lang w:val="en-US" w:eastAsia="zh-CN"/>
              </w:rPr>
              <w:t>产生量约</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198L/a，</w:t>
            </w:r>
            <w:r>
              <w:rPr>
                <w:rFonts w:hint="default" w:ascii="Times New Roman" w:hAnsi="Times New Roman" w:eastAsia="宋体" w:cs="Times New Roman"/>
                <w:color w:val="auto"/>
                <w:sz w:val="24"/>
                <w:szCs w:val="24"/>
                <w:highlight w:val="none"/>
              </w:rPr>
              <w:t>根据《国家危险废物名录》（2021版），属于危险废物，废物类别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HW49，废物代码</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900-04</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-49，</w:t>
            </w:r>
            <w:r>
              <w:rPr>
                <w:rFonts w:hint="eastAsia" w:cs="Times New Roman"/>
                <w:color w:val="auto"/>
                <w:sz w:val="24"/>
                <w:szCs w:val="24"/>
                <w:highlight w:val="none"/>
                <w:lang w:val="en-US" w:eastAsia="zh-CN"/>
              </w:rPr>
              <w:t>收集在专用容器中，暂存于危险废物贮存库，定期交由有资质单位处置</w:t>
            </w:r>
            <w:r>
              <w:rPr>
                <w:rFonts w:hint="default" w:ascii="Times New Roman" w:hAnsi="Times New Roman" w:eastAsia="宋体" w:cs="Times New Roman"/>
                <w:color w:val="auto"/>
                <w:sz w:val="24"/>
                <w:szCs w:val="24"/>
                <w:highlight w:val="none"/>
              </w:rPr>
              <w:t>。</w:t>
            </w:r>
          </w:p>
          <w:p w14:paraId="24D35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b w:val="0"/>
                <w:bCs w:val="0"/>
                <w:snapToGrid/>
                <w:color w:val="auto"/>
                <w:kern w:val="2"/>
                <w:sz w:val="24"/>
                <w:szCs w:val="24"/>
                <w:highlight w:val="none"/>
                <w:lang w:val="en-US" w:eastAsia="zh-CN"/>
              </w:rPr>
              <w:t>⑧实验器皿清洗废水</w:t>
            </w:r>
          </w:p>
          <w:p w14:paraId="3F9F0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本项目实验器皿清洗废水产生量为</w:t>
            </w:r>
            <w:r>
              <w:rPr>
                <w:rFonts w:hint="eastAsia"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根据《国家危险废物名录》（2021版），属于危险废物，废物类别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HW49，废物代码</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900-04</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-49，</w:t>
            </w:r>
            <w:r>
              <w:rPr>
                <w:rFonts w:hint="eastAsia" w:cs="Times New Roman"/>
                <w:color w:val="auto"/>
                <w:sz w:val="24"/>
                <w:szCs w:val="24"/>
                <w:highlight w:val="none"/>
                <w:lang w:val="en-US" w:eastAsia="zh-CN"/>
              </w:rPr>
              <w:t>收集在专用容器中，暂存于危险废物贮存库，定期交由有资质单位处置</w:t>
            </w:r>
            <w:r>
              <w:rPr>
                <w:rFonts w:hint="default" w:ascii="Times New Roman" w:hAnsi="Times New Roman" w:eastAsia="宋体" w:cs="Times New Roman"/>
                <w:color w:val="auto"/>
                <w:sz w:val="24"/>
                <w:szCs w:val="24"/>
                <w:highlight w:val="none"/>
              </w:rPr>
              <w:t>。</w:t>
            </w:r>
          </w:p>
          <w:p w14:paraId="693F39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b w:val="0"/>
                <w:bCs w:val="0"/>
                <w:snapToGrid/>
                <w:color w:val="auto"/>
                <w:kern w:val="2"/>
                <w:sz w:val="24"/>
                <w:szCs w:val="24"/>
                <w:highlight w:val="none"/>
                <w:lang w:val="en-US" w:eastAsia="zh-CN"/>
              </w:rPr>
              <w:t>⑨</w:t>
            </w:r>
            <w:r>
              <w:rPr>
                <w:rFonts w:hint="eastAsia" w:cs="Times New Roman"/>
                <w:color w:val="auto"/>
                <w:sz w:val="24"/>
                <w:szCs w:val="24"/>
                <w:highlight w:val="none"/>
                <w:lang w:val="en-US" w:eastAsia="zh-CN"/>
              </w:rPr>
              <w:t>乙醚清洗废液</w:t>
            </w:r>
          </w:p>
          <w:p w14:paraId="43A1C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rPr>
              <w:t>本项目碳、硫分析试验</w:t>
            </w:r>
            <w:r>
              <w:rPr>
                <w:rFonts w:hint="eastAsia" w:ascii="Times New Roman" w:hAnsi="Times New Roman" w:eastAsia="宋体" w:cs="Times New Roman"/>
                <w:color w:val="auto"/>
                <w:sz w:val="24"/>
                <w:szCs w:val="24"/>
                <w:highlight w:val="none"/>
                <w:lang w:val="en-US" w:eastAsia="zh-CN"/>
              </w:rPr>
              <w:t>中用乙醚溶液清洗试样表层的油污，</w:t>
            </w:r>
            <w:r>
              <w:rPr>
                <w:rFonts w:hint="eastAsia" w:cs="Times New Roman"/>
                <w:color w:val="auto"/>
                <w:sz w:val="24"/>
                <w:szCs w:val="24"/>
                <w:highlight w:val="none"/>
                <w:lang w:val="en-US" w:eastAsia="zh-CN"/>
              </w:rPr>
              <w:t>乙醚清洗废液收集在专用容器中，暂存于危险废物贮存库，定期交由有资质单位处置</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乙醚清洗废液</w:t>
            </w:r>
            <w:r>
              <w:rPr>
                <w:rFonts w:hint="default" w:ascii="Times New Roman" w:hAnsi="Times New Roman" w:eastAsia="宋体" w:cs="Times New Roman"/>
                <w:color w:val="auto"/>
                <w:sz w:val="24"/>
                <w:szCs w:val="24"/>
                <w:highlight w:val="none"/>
              </w:rPr>
              <w:t>产生量为</w:t>
            </w:r>
            <w:r>
              <w:rPr>
                <w:rFonts w:hint="eastAsia" w:cs="Times New Roman"/>
                <w:color w:val="auto"/>
                <w:sz w:val="24"/>
                <w:szCs w:val="24"/>
                <w:highlight w:val="none"/>
                <w:lang w:val="en-US" w:eastAsia="zh-CN"/>
              </w:rPr>
              <w:t>2.4L</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根据《国家危险废物名录》（2021版），属于危险废物，废物类别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HW49，废物代码</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900-04</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-49</w:t>
            </w:r>
            <w:r>
              <w:rPr>
                <w:rFonts w:hint="default" w:ascii="Times New Roman" w:hAnsi="Times New Roman" w:eastAsia="宋体" w:cs="Times New Roman"/>
                <w:color w:val="auto"/>
                <w:highlight w:val="none"/>
                <w:lang w:eastAsia="zh-CN"/>
              </w:rPr>
              <w:t>。</w:t>
            </w:r>
          </w:p>
          <w:p w14:paraId="74A6AC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val="0"/>
                <w:snapToGrid/>
                <w:color w:val="auto"/>
                <w:kern w:val="2"/>
                <w:sz w:val="24"/>
                <w:szCs w:val="24"/>
                <w:highlight w:val="none"/>
                <w:lang w:val="en-US" w:eastAsia="zh-CN"/>
              </w:rPr>
              <w:t>⑩喷</w:t>
            </w:r>
            <w:r>
              <w:rPr>
                <w:rFonts w:hint="eastAsia" w:ascii="Times New Roman" w:hAnsi="Times New Roman" w:eastAsia="宋体" w:cs="Times New Roman"/>
                <w:color w:val="auto"/>
                <w:sz w:val="24"/>
                <w:szCs w:val="24"/>
                <w:highlight w:val="none"/>
                <w:lang w:val="en-US" w:eastAsia="zh-CN"/>
              </w:rPr>
              <w:t>淋塔废水</w:t>
            </w:r>
          </w:p>
          <w:p w14:paraId="23697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 w:val="0"/>
                <w:bCs w:val="0"/>
                <w:snapToGrid/>
                <w:color w:val="auto"/>
                <w:kern w:val="2"/>
                <w:sz w:val="24"/>
                <w:szCs w:val="24"/>
                <w:highlight w:val="none"/>
                <w:lang w:val="en-US" w:eastAsia="zh-CN"/>
              </w:rPr>
              <w:t>喷</w:t>
            </w:r>
            <w:r>
              <w:rPr>
                <w:rFonts w:hint="eastAsia" w:ascii="Times New Roman" w:hAnsi="Times New Roman" w:eastAsia="宋体" w:cs="Times New Roman"/>
                <w:color w:val="auto"/>
                <w:sz w:val="24"/>
                <w:szCs w:val="24"/>
                <w:highlight w:val="none"/>
                <w:lang w:val="en-US" w:eastAsia="zh-CN"/>
              </w:rPr>
              <w:t>淋塔废水产生量为4.8m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根据《国家危险废物名录》（2021版），属于危险废物，废物类</w:t>
            </w:r>
            <w:r>
              <w:rPr>
                <w:rFonts w:hint="default" w:ascii="Times New Roman" w:hAnsi="Times New Roman" w:eastAsia="宋体" w:cs="Times New Roman"/>
                <w:color w:val="auto"/>
                <w:sz w:val="24"/>
                <w:szCs w:val="24"/>
                <w:highlight w:val="none"/>
                <w:lang w:val="en-US" w:eastAsia="zh-CN"/>
              </w:rPr>
              <w:t>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HW49，废物代码</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900-04</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-49，</w:t>
            </w:r>
            <w:r>
              <w:rPr>
                <w:rFonts w:hint="eastAsia" w:ascii="Times New Roman" w:hAnsi="Times New Roman" w:eastAsia="宋体" w:cs="Times New Roman"/>
                <w:color w:val="auto"/>
                <w:sz w:val="24"/>
                <w:szCs w:val="24"/>
                <w:highlight w:val="none"/>
                <w:lang w:val="en-US" w:eastAsia="zh-CN"/>
              </w:rPr>
              <w:t>收集在专用容器中，暂存于危险废物贮存库，定期交由有资质单位处置</w:t>
            </w:r>
            <w:r>
              <w:rPr>
                <w:rFonts w:hint="default" w:ascii="Times New Roman" w:hAnsi="Times New Roman" w:eastAsia="宋体" w:cs="Times New Roman"/>
                <w:color w:val="auto"/>
                <w:sz w:val="24"/>
                <w:szCs w:val="24"/>
                <w:highlight w:val="none"/>
                <w:lang w:val="en-US" w:eastAsia="zh-CN"/>
              </w:rPr>
              <w:t>。</w:t>
            </w:r>
          </w:p>
          <w:p w14:paraId="6C014F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⑪废试剂瓶</w:t>
            </w:r>
          </w:p>
          <w:p w14:paraId="5F5F53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废试剂瓶</w:t>
            </w:r>
            <w:r>
              <w:rPr>
                <w:rFonts w:hint="eastAsia" w:ascii="Times New Roman" w:hAnsi="Times New Roman" w:eastAsia="宋体" w:cs="Times New Roman"/>
                <w:color w:val="auto"/>
                <w:sz w:val="24"/>
                <w:szCs w:val="24"/>
                <w:highlight w:val="none"/>
                <w:lang w:val="en-US" w:eastAsia="zh-CN"/>
              </w:rPr>
              <w:t>产生量约为0.05t/a，</w:t>
            </w:r>
            <w:r>
              <w:rPr>
                <w:rFonts w:hint="default" w:ascii="Times New Roman" w:hAnsi="Times New Roman" w:eastAsia="宋体" w:cs="Times New Roman"/>
                <w:color w:val="auto"/>
                <w:sz w:val="24"/>
                <w:szCs w:val="24"/>
                <w:highlight w:val="none"/>
              </w:rPr>
              <w:t>根据《国家危险废物名录》（2021版），属于危险废物，废物类</w:t>
            </w:r>
            <w:r>
              <w:rPr>
                <w:rFonts w:hint="default" w:ascii="Times New Roman" w:hAnsi="Times New Roman" w:eastAsia="宋体" w:cs="Times New Roman"/>
                <w:color w:val="auto"/>
                <w:sz w:val="24"/>
                <w:szCs w:val="24"/>
                <w:highlight w:val="none"/>
                <w:lang w:val="en-US" w:eastAsia="zh-CN"/>
              </w:rPr>
              <w:t>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HW49，废物代码</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900-04</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-49，</w:t>
            </w:r>
            <w:r>
              <w:rPr>
                <w:rFonts w:hint="eastAsia" w:ascii="Times New Roman" w:hAnsi="Times New Roman" w:eastAsia="宋体" w:cs="Times New Roman"/>
                <w:color w:val="auto"/>
                <w:sz w:val="24"/>
                <w:szCs w:val="24"/>
                <w:highlight w:val="none"/>
                <w:lang w:val="en-US" w:eastAsia="zh-CN"/>
              </w:rPr>
              <w:t>暂存于危险废物贮存库，定期交由有资质单位处置</w:t>
            </w:r>
            <w:r>
              <w:rPr>
                <w:rFonts w:hint="default" w:ascii="Times New Roman" w:hAnsi="Times New Roman" w:eastAsia="宋体" w:cs="Times New Roman"/>
                <w:color w:val="auto"/>
                <w:sz w:val="24"/>
                <w:szCs w:val="24"/>
                <w:highlight w:val="none"/>
                <w:lang w:val="en-US" w:eastAsia="zh-CN"/>
              </w:rPr>
              <w:t>。</w:t>
            </w:r>
          </w:p>
          <w:p w14:paraId="508C9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⑫废试剂</w:t>
            </w:r>
          </w:p>
          <w:p w14:paraId="6BD6F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废试剂</w:t>
            </w:r>
            <w:r>
              <w:rPr>
                <w:rFonts w:hint="eastAsia" w:ascii="Times New Roman" w:hAnsi="Times New Roman" w:eastAsia="宋体" w:cs="Times New Roman"/>
                <w:color w:val="auto"/>
                <w:sz w:val="24"/>
                <w:szCs w:val="24"/>
                <w:highlight w:val="none"/>
                <w:lang w:val="en-US" w:eastAsia="zh-CN"/>
              </w:rPr>
              <w:t>产生量为50L/a，</w:t>
            </w:r>
            <w:r>
              <w:rPr>
                <w:rFonts w:hint="default" w:ascii="Times New Roman" w:hAnsi="Times New Roman" w:eastAsia="宋体" w:cs="Times New Roman"/>
                <w:color w:val="auto"/>
                <w:sz w:val="24"/>
                <w:szCs w:val="24"/>
                <w:highlight w:val="none"/>
              </w:rPr>
              <w:t>根据《国家危险废物名录》（2021版），属于危险废物，废物类</w:t>
            </w:r>
            <w:r>
              <w:rPr>
                <w:rFonts w:hint="default" w:ascii="Times New Roman" w:hAnsi="Times New Roman" w:eastAsia="宋体" w:cs="Times New Roman"/>
                <w:color w:val="auto"/>
                <w:sz w:val="24"/>
                <w:szCs w:val="24"/>
                <w:highlight w:val="none"/>
                <w:lang w:val="en-US" w:eastAsia="zh-CN"/>
              </w:rPr>
              <w:t>别</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HW49，废物代码</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900-04</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-49，</w:t>
            </w:r>
            <w:r>
              <w:rPr>
                <w:rFonts w:hint="eastAsia" w:ascii="Times New Roman" w:hAnsi="Times New Roman" w:eastAsia="宋体" w:cs="Times New Roman"/>
                <w:color w:val="auto"/>
                <w:sz w:val="24"/>
                <w:szCs w:val="24"/>
                <w:highlight w:val="none"/>
                <w:lang w:val="en-US" w:eastAsia="zh-CN"/>
              </w:rPr>
              <w:t>收集在专用容器中，暂存于危险废物贮存库，定期交由有资质单位处置</w:t>
            </w:r>
            <w:r>
              <w:rPr>
                <w:rFonts w:hint="default" w:ascii="Times New Roman" w:hAnsi="Times New Roman" w:eastAsia="宋体" w:cs="Times New Roman"/>
                <w:color w:val="auto"/>
                <w:sz w:val="24"/>
                <w:szCs w:val="24"/>
                <w:highlight w:val="none"/>
                <w:lang w:val="en-US" w:eastAsia="zh-CN"/>
              </w:rPr>
              <w:t>。</w:t>
            </w:r>
          </w:p>
          <w:p w14:paraId="6067E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⑬</w:t>
            </w:r>
            <w:r>
              <w:rPr>
                <w:rFonts w:hint="eastAsia" w:ascii="Times New Roman" w:hAnsi="Times New Roman" w:eastAsia="宋体" w:cs="Times New Roman"/>
                <w:color w:val="auto"/>
                <w:sz w:val="24"/>
                <w:szCs w:val="24"/>
                <w:highlight w:val="none"/>
                <w:lang w:val="en-US" w:eastAsia="zh-CN"/>
              </w:rPr>
              <w:t>废活性炭</w:t>
            </w:r>
          </w:p>
          <w:p w14:paraId="0FA3D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4"/>
                <w:szCs w:val="24"/>
                <w:highlight w:val="none"/>
                <w:lang w:val="en-US" w:eastAsia="zh-CN"/>
              </w:rPr>
              <w:t>废活性炭：项目营运期环保设备定期更换废活性炭，根据《现代涂装手册》（化学工业出版社，2010年出版），活性炭对有机废气等各成分的吸附量约为0.25g废气/1g活性炭。根据工程分析，本项目活性炭吸附装置处理非甲烷总烃为0.</w:t>
            </w:r>
            <w:r>
              <w:rPr>
                <w:rFonts w:hint="eastAsia" w:ascii="Times New Roman" w:hAnsi="Times New Roman" w:eastAsia="宋体" w:cs="Times New Roman"/>
                <w:color w:val="auto"/>
                <w:sz w:val="24"/>
                <w:szCs w:val="24"/>
                <w:highlight w:val="none"/>
                <w:lang w:val="en-US" w:eastAsia="zh-CN"/>
              </w:rPr>
              <w:t>00245</w:t>
            </w:r>
            <w:r>
              <w:rPr>
                <w:rFonts w:hint="default" w:ascii="Times New Roman" w:hAnsi="Times New Roman" w:eastAsia="宋体" w:cs="Times New Roman"/>
                <w:color w:val="auto"/>
                <w:sz w:val="24"/>
                <w:szCs w:val="24"/>
                <w:highlight w:val="none"/>
                <w:lang w:val="en-US" w:eastAsia="zh-CN"/>
              </w:rPr>
              <w:t>t/a，则吸附非甲烷总烃理论上所需活性炭为</w:t>
            </w:r>
            <w:r>
              <w:rPr>
                <w:rFonts w:hint="eastAsia" w:ascii="Times New Roman" w:hAnsi="Times New Roman" w:eastAsia="宋体" w:cs="Times New Roman"/>
                <w:color w:val="auto"/>
                <w:sz w:val="24"/>
                <w:szCs w:val="24"/>
                <w:highlight w:val="none"/>
                <w:lang w:val="en-US" w:eastAsia="zh-CN"/>
              </w:rPr>
              <w:t>0.01</w:t>
            </w:r>
            <w:r>
              <w:rPr>
                <w:rFonts w:hint="default" w:ascii="Times New Roman" w:hAnsi="Times New Roman" w:eastAsia="宋体" w:cs="Times New Roman"/>
                <w:color w:val="auto"/>
                <w:sz w:val="24"/>
                <w:szCs w:val="24"/>
                <w:highlight w:val="none"/>
                <w:lang w:val="en-US" w:eastAsia="zh-CN"/>
              </w:rPr>
              <w:t>t/a，故产生总废活性炭</w:t>
            </w:r>
            <w:r>
              <w:rPr>
                <w:rFonts w:hint="eastAsia" w:ascii="Times New Roman" w:hAnsi="Times New Roman" w:eastAsia="宋体" w:cs="Times New Roman"/>
                <w:color w:val="auto"/>
                <w:sz w:val="24"/>
                <w:szCs w:val="24"/>
                <w:highlight w:val="none"/>
                <w:lang w:val="en-US" w:eastAsia="zh-CN"/>
              </w:rPr>
              <w:t>0.012</w:t>
            </w:r>
            <w:r>
              <w:rPr>
                <w:rFonts w:hint="default" w:ascii="Times New Roman" w:hAnsi="Times New Roman" w:eastAsia="宋体" w:cs="Times New Roman"/>
                <w:color w:val="auto"/>
                <w:sz w:val="24"/>
                <w:szCs w:val="24"/>
                <w:highlight w:val="none"/>
                <w:lang w:val="en-US" w:eastAsia="zh-CN"/>
              </w:rPr>
              <w:t>t/a，更换下来的废活性炭属于危险废物（危废类别HW49，危废代码 900-039-49），收集后暂存于危废贮存库，定期交有资质单位处置。</w:t>
            </w:r>
          </w:p>
          <w:p w14:paraId="1B1C6B80">
            <w:pPr>
              <w:pStyle w:val="50"/>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ascii="Times New Roman" w:hAnsi="Times New Roman"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rPr>
              <w:t xml:space="preserve">  项目固体废弃物产生情况一览表</w:t>
            </w:r>
          </w:p>
          <w:tbl>
            <w:tblPr>
              <w:tblStyle w:val="28"/>
              <w:tblW w:w="492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44"/>
              <w:gridCol w:w="1368"/>
              <w:gridCol w:w="704"/>
              <w:gridCol w:w="1280"/>
              <w:gridCol w:w="720"/>
              <w:gridCol w:w="927"/>
              <w:gridCol w:w="706"/>
              <w:gridCol w:w="1152"/>
            </w:tblGrid>
            <w:tr w14:paraId="474B6C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05" w:type="pct"/>
                  <w:tcBorders>
                    <w:tl2br w:val="nil"/>
                    <w:tr2bl w:val="nil"/>
                  </w:tcBorders>
                  <w:shd w:val="clear" w:color="auto" w:fill="auto"/>
                  <w:vAlign w:val="center"/>
                </w:tcPr>
                <w:p w14:paraId="643290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固废类别</w:t>
                  </w:r>
                </w:p>
              </w:tc>
              <w:tc>
                <w:tcPr>
                  <w:tcW w:w="876" w:type="pct"/>
                  <w:tcBorders>
                    <w:tl2br w:val="nil"/>
                    <w:tr2bl w:val="nil"/>
                  </w:tcBorders>
                  <w:shd w:val="clear" w:color="auto" w:fill="auto"/>
                  <w:vAlign w:val="center"/>
                </w:tcPr>
                <w:p w14:paraId="02C46C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451" w:type="pct"/>
                  <w:tcBorders>
                    <w:tl2br w:val="nil"/>
                    <w:tr2bl w:val="nil"/>
                  </w:tcBorders>
                  <w:shd w:val="clear" w:color="auto" w:fill="auto"/>
                  <w:vAlign w:val="center"/>
                </w:tcPr>
                <w:p w14:paraId="6152B7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形态</w:t>
                  </w:r>
                </w:p>
              </w:tc>
              <w:tc>
                <w:tcPr>
                  <w:tcW w:w="820" w:type="pct"/>
                  <w:tcBorders>
                    <w:tl2br w:val="nil"/>
                    <w:tr2bl w:val="nil"/>
                  </w:tcBorders>
                  <w:shd w:val="clear" w:color="auto" w:fill="auto"/>
                  <w:vAlign w:val="center"/>
                </w:tcPr>
                <w:p w14:paraId="6953B8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属性及编码</w:t>
                  </w:r>
                </w:p>
              </w:tc>
              <w:tc>
                <w:tcPr>
                  <w:tcW w:w="461" w:type="pct"/>
                  <w:tcBorders>
                    <w:tl2br w:val="nil"/>
                    <w:tr2bl w:val="nil"/>
                  </w:tcBorders>
                  <w:shd w:val="clear" w:color="auto" w:fill="auto"/>
                  <w:vAlign w:val="center"/>
                </w:tcPr>
                <w:p w14:paraId="65552E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危险特性</w:t>
                  </w:r>
                </w:p>
              </w:tc>
              <w:tc>
                <w:tcPr>
                  <w:tcW w:w="594" w:type="pct"/>
                  <w:tcBorders>
                    <w:tl2br w:val="nil"/>
                    <w:tr2bl w:val="nil"/>
                  </w:tcBorders>
                  <w:shd w:val="clear" w:color="auto" w:fill="auto"/>
                  <w:vAlign w:val="center"/>
                </w:tcPr>
                <w:p w14:paraId="1936FB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w:t>
                  </w:r>
                </w:p>
              </w:tc>
              <w:tc>
                <w:tcPr>
                  <w:tcW w:w="452" w:type="pct"/>
                  <w:tcBorders>
                    <w:tl2br w:val="nil"/>
                    <w:tr2bl w:val="nil"/>
                  </w:tcBorders>
                  <w:shd w:val="clear" w:color="auto" w:fill="auto"/>
                  <w:vAlign w:val="center"/>
                </w:tcPr>
                <w:p w14:paraId="129D0F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贮存方式</w:t>
                  </w:r>
                </w:p>
              </w:tc>
              <w:tc>
                <w:tcPr>
                  <w:tcW w:w="738" w:type="pct"/>
                  <w:tcBorders>
                    <w:tl2br w:val="nil"/>
                    <w:tr2bl w:val="nil"/>
                  </w:tcBorders>
                  <w:shd w:val="clear" w:color="auto" w:fill="auto"/>
                  <w:vAlign w:val="center"/>
                </w:tcPr>
                <w:p w14:paraId="33AE77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处理方式及去向</w:t>
                  </w:r>
                </w:p>
              </w:tc>
            </w:tr>
            <w:tr w14:paraId="76B34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tcBorders>
                    <w:tl2br w:val="nil"/>
                    <w:tr2bl w:val="nil"/>
                  </w:tcBorders>
                  <w:shd w:val="clear" w:color="auto" w:fill="auto"/>
                  <w:vAlign w:val="center"/>
                </w:tcPr>
                <w:p w14:paraId="59DF1A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876" w:type="pct"/>
                  <w:tcBorders>
                    <w:tl2br w:val="nil"/>
                    <w:tr2bl w:val="nil"/>
                  </w:tcBorders>
                  <w:shd w:val="clear" w:color="auto" w:fill="auto"/>
                  <w:vAlign w:val="center"/>
                </w:tcPr>
                <w:p w14:paraId="7AD319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451" w:type="pct"/>
                  <w:tcBorders>
                    <w:tl2br w:val="nil"/>
                    <w:tr2bl w:val="nil"/>
                  </w:tcBorders>
                  <w:shd w:val="clear" w:color="auto" w:fill="auto"/>
                  <w:vAlign w:val="center"/>
                </w:tcPr>
                <w:p w14:paraId="47815E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820" w:type="pct"/>
                  <w:tcBorders>
                    <w:tl2br w:val="nil"/>
                    <w:tr2bl w:val="nil"/>
                  </w:tcBorders>
                  <w:shd w:val="clear" w:color="auto" w:fill="auto"/>
                  <w:vAlign w:val="center"/>
                </w:tcPr>
                <w:p w14:paraId="5C6898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生活垃圾</w:t>
                  </w:r>
                </w:p>
              </w:tc>
              <w:tc>
                <w:tcPr>
                  <w:tcW w:w="461" w:type="pct"/>
                  <w:tcBorders>
                    <w:tl2br w:val="nil"/>
                    <w:tr2bl w:val="nil"/>
                  </w:tcBorders>
                  <w:shd w:val="clear" w:color="auto" w:fill="auto"/>
                  <w:vAlign w:val="center"/>
                </w:tcPr>
                <w:p w14:paraId="7A5D9C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94" w:type="pct"/>
                  <w:tcBorders>
                    <w:tl2br w:val="nil"/>
                    <w:tr2bl w:val="nil"/>
                  </w:tcBorders>
                  <w:shd w:val="clear" w:color="auto" w:fill="auto"/>
                  <w:vAlign w:val="center"/>
                </w:tcPr>
                <w:p w14:paraId="324FC3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12.75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52" w:type="pct"/>
                  <w:tcBorders>
                    <w:tl2br w:val="nil"/>
                    <w:tr2bl w:val="nil"/>
                  </w:tcBorders>
                  <w:shd w:val="clear" w:color="auto" w:fill="auto"/>
                  <w:vAlign w:val="center"/>
                </w:tcPr>
                <w:p w14:paraId="66BFA9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垃圾桶</w:t>
                  </w:r>
                </w:p>
              </w:tc>
              <w:tc>
                <w:tcPr>
                  <w:tcW w:w="738" w:type="pct"/>
                  <w:tcBorders>
                    <w:tl2br w:val="nil"/>
                    <w:tr2bl w:val="nil"/>
                  </w:tcBorders>
                  <w:shd w:val="clear" w:color="auto" w:fill="auto"/>
                  <w:vAlign w:val="center"/>
                </w:tcPr>
                <w:p w14:paraId="7733CCA9">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分类收集，交由环卫部门处理</w:t>
                  </w:r>
                </w:p>
              </w:tc>
            </w:tr>
            <w:tr w14:paraId="1D0C57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restart"/>
                  <w:tcBorders>
                    <w:tl2br w:val="nil"/>
                    <w:tr2bl w:val="nil"/>
                  </w:tcBorders>
                  <w:shd w:val="clear" w:color="auto" w:fill="auto"/>
                  <w:vAlign w:val="center"/>
                </w:tcPr>
                <w:p w14:paraId="6637D1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一般工业固废</w:t>
                  </w:r>
                </w:p>
              </w:tc>
              <w:tc>
                <w:tcPr>
                  <w:tcW w:w="876" w:type="pct"/>
                  <w:tcBorders>
                    <w:tl2br w:val="nil"/>
                    <w:tr2bl w:val="nil"/>
                  </w:tcBorders>
                  <w:shd w:val="clear" w:color="auto" w:fill="auto"/>
                  <w:noWrap/>
                  <w:vAlign w:val="center"/>
                </w:tcPr>
                <w:p w14:paraId="333D4B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废原料包装桶</w:t>
                  </w:r>
                </w:p>
              </w:tc>
              <w:tc>
                <w:tcPr>
                  <w:tcW w:w="451" w:type="pct"/>
                  <w:tcBorders>
                    <w:tl2br w:val="nil"/>
                    <w:tr2bl w:val="nil"/>
                  </w:tcBorders>
                  <w:shd w:val="clear" w:color="auto" w:fill="auto"/>
                  <w:vAlign w:val="center"/>
                </w:tcPr>
                <w:p w14:paraId="73547E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820" w:type="pct"/>
                  <w:tcBorders>
                    <w:tl2br w:val="nil"/>
                    <w:tr2bl w:val="nil"/>
                  </w:tcBorders>
                  <w:shd w:val="clear" w:color="auto" w:fill="auto"/>
                  <w:noWrap/>
                  <w:vAlign w:val="center"/>
                </w:tcPr>
                <w:p w14:paraId="4E82A1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SW17 </w:t>
                  </w:r>
                </w:p>
                <w:p w14:paraId="09C1FF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900-002-S17</w:t>
                  </w:r>
                </w:p>
              </w:tc>
              <w:tc>
                <w:tcPr>
                  <w:tcW w:w="461" w:type="pct"/>
                  <w:tcBorders>
                    <w:tl2br w:val="nil"/>
                    <w:tr2bl w:val="nil"/>
                  </w:tcBorders>
                  <w:shd w:val="clear" w:color="auto" w:fill="auto"/>
                  <w:vAlign w:val="center"/>
                </w:tcPr>
                <w:p w14:paraId="553D0B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94" w:type="pct"/>
                  <w:tcBorders>
                    <w:tl2br w:val="nil"/>
                    <w:tr2bl w:val="nil"/>
                  </w:tcBorders>
                  <w:shd w:val="clear" w:color="auto" w:fill="auto"/>
                  <w:vAlign w:val="center"/>
                </w:tcPr>
                <w:p w14:paraId="31A872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640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52" w:type="pct"/>
                  <w:tcBorders>
                    <w:tl2br w:val="nil"/>
                    <w:tr2bl w:val="nil"/>
                  </w:tcBorders>
                  <w:shd w:val="clear" w:color="auto" w:fill="auto"/>
                  <w:vAlign w:val="center"/>
                </w:tcPr>
                <w:p w14:paraId="6357EDC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rPr>
                    <w:t>一般固废暂存区</w:t>
                  </w:r>
                </w:p>
              </w:tc>
              <w:tc>
                <w:tcPr>
                  <w:tcW w:w="738" w:type="pct"/>
                  <w:tcBorders>
                    <w:tl2br w:val="nil"/>
                    <w:tr2bl w:val="nil"/>
                  </w:tcBorders>
                  <w:shd w:val="clear" w:color="auto" w:fill="auto"/>
                  <w:vAlign w:val="center"/>
                </w:tcPr>
                <w:p w14:paraId="2ABE17B0">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sz w:val="21"/>
                      <w:szCs w:val="21"/>
                      <w:highlight w:val="none"/>
                      <w:u w:val="none"/>
                      <w:lang w:val="en-US"/>
                    </w:rPr>
                    <w:t>定期由原料供应单位回收再利用</w:t>
                  </w:r>
                </w:p>
              </w:tc>
            </w:tr>
            <w:tr w14:paraId="61F68B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5181131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56B2DA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lang w:val="en-US" w:eastAsia="zh-CN"/>
                    </w:rPr>
                    <w:t>废边角料和废</w:t>
                  </w:r>
                  <w:r>
                    <w:rPr>
                      <w:rFonts w:hint="eastAsia" w:ascii="Times New Roman" w:hAnsi="Times New Roman" w:eastAsia="宋体" w:cs="Times New Roman"/>
                      <w:color w:val="auto"/>
                      <w:sz w:val="21"/>
                      <w:szCs w:val="21"/>
                      <w:highlight w:val="none"/>
                      <w:lang w:val="en-US" w:eastAsia="zh-CN"/>
                    </w:rPr>
                    <w:t>金属</w:t>
                  </w:r>
                  <w:r>
                    <w:rPr>
                      <w:rFonts w:hint="default" w:ascii="Times New Roman" w:hAnsi="Times New Roman" w:eastAsia="宋体" w:cs="Times New Roman"/>
                      <w:color w:val="auto"/>
                      <w:sz w:val="21"/>
                      <w:szCs w:val="21"/>
                      <w:highlight w:val="none"/>
                      <w:lang w:val="en-US" w:eastAsia="zh-CN"/>
                    </w:rPr>
                    <w:t>屑</w:t>
                  </w:r>
                </w:p>
              </w:tc>
              <w:tc>
                <w:tcPr>
                  <w:tcW w:w="451" w:type="pct"/>
                  <w:tcBorders>
                    <w:tl2br w:val="nil"/>
                    <w:tr2bl w:val="nil"/>
                  </w:tcBorders>
                  <w:shd w:val="clear" w:color="auto" w:fill="auto"/>
                  <w:vAlign w:val="center"/>
                </w:tcPr>
                <w:p w14:paraId="729627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820" w:type="pct"/>
                  <w:tcBorders>
                    <w:tl2br w:val="nil"/>
                    <w:tr2bl w:val="nil"/>
                  </w:tcBorders>
                  <w:shd w:val="clear" w:color="auto" w:fill="auto"/>
                  <w:noWrap/>
                  <w:vAlign w:val="center"/>
                </w:tcPr>
                <w:p w14:paraId="63B728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SW17 </w:t>
                  </w:r>
                </w:p>
                <w:p w14:paraId="27EA2F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900-002-S17</w:t>
                  </w:r>
                </w:p>
              </w:tc>
              <w:tc>
                <w:tcPr>
                  <w:tcW w:w="461" w:type="pct"/>
                  <w:tcBorders>
                    <w:tl2br w:val="nil"/>
                    <w:tr2bl w:val="nil"/>
                  </w:tcBorders>
                  <w:shd w:val="clear" w:color="auto" w:fill="auto"/>
                  <w:vAlign w:val="center"/>
                </w:tcPr>
                <w:p w14:paraId="7AB7FE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94" w:type="pct"/>
                  <w:tcBorders>
                    <w:tl2br w:val="nil"/>
                    <w:tr2bl w:val="nil"/>
                  </w:tcBorders>
                  <w:shd w:val="clear" w:color="auto" w:fill="auto"/>
                  <w:vAlign w:val="center"/>
                </w:tcPr>
                <w:p w14:paraId="5C09C6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52" w:type="pct"/>
                  <w:tcBorders>
                    <w:tl2br w:val="nil"/>
                    <w:tr2bl w:val="nil"/>
                  </w:tcBorders>
                  <w:shd w:val="clear" w:color="auto" w:fill="auto"/>
                  <w:vAlign w:val="center"/>
                </w:tcPr>
                <w:p w14:paraId="353AF3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u w:val="none"/>
                      <w:lang w:val="en-US"/>
                    </w:rPr>
                    <w:t>一般固废暂存区</w:t>
                  </w:r>
                </w:p>
              </w:tc>
              <w:tc>
                <w:tcPr>
                  <w:tcW w:w="738" w:type="pct"/>
                  <w:tcBorders>
                    <w:tl2br w:val="nil"/>
                    <w:tr2bl w:val="nil"/>
                  </w:tcBorders>
                  <w:shd w:val="clear" w:color="auto" w:fill="auto"/>
                  <w:vAlign w:val="center"/>
                </w:tcPr>
                <w:p w14:paraId="794F7D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color w:val="auto"/>
                      <w:sz w:val="21"/>
                      <w:szCs w:val="21"/>
                      <w:highlight w:val="none"/>
                      <w:lang w:val="en-US" w:eastAsia="zh-CN"/>
                    </w:rPr>
                    <w:t>外售</w:t>
                  </w:r>
                </w:p>
              </w:tc>
            </w:tr>
            <w:tr w14:paraId="7CD908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030339A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4C7933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不合格品</w:t>
                  </w:r>
                </w:p>
              </w:tc>
              <w:tc>
                <w:tcPr>
                  <w:tcW w:w="451" w:type="pct"/>
                  <w:tcBorders>
                    <w:tl2br w:val="nil"/>
                    <w:tr2bl w:val="nil"/>
                  </w:tcBorders>
                  <w:shd w:val="clear" w:color="auto" w:fill="auto"/>
                  <w:vAlign w:val="center"/>
                </w:tcPr>
                <w:p w14:paraId="34F3D0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820" w:type="pct"/>
                  <w:tcBorders>
                    <w:tl2br w:val="nil"/>
                    <w:tr2bl w:val="nil"/>
                  </w:tcBorders>
                  <w:shd w:val="clear" w:color="auto" w:fill="auto"/>
                  <w:noWrap/>
                  <w:vAlign w:val="center"/>
                </w:tcPr>
                <w:p w14:paraId="24F31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SW17 </w:t>
                  </w:r>
                </w:p>
                <w:p w14:paraId="57622EF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900-002-S17</w:t>
                  </w:r>
                </w:p>
              </w:tc>
              <w:tc>
                <w:tcPr>
                  <w:tcW w:w="461" w:type="pct"/>
                  <w:tcBorders>
                    <w:tl2br w:val="nil"/>
                    <w:tr2bl w:val="nil"/>
                  </w:tcBorders>
                  <w:shd w:val="clear" w:color="auto" w:fill="auto"/>
                  <w:vAlign w:val="center"/>
                </w:tcPr>
                <w:p w14:paraId="48EDD6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594" w:type="pct"/>
                  <w:tcBorders>
                    <w:tl2br w:val="nil"/>
                    <w:tr2bl w:val="nil"/>
                  </w:tcBorders>
                  <w:shd w:val="clear" w:color="auto" w:fill="auto"/>
                  <w:vAlign w:val="center"/>
                </w:tcPr>
                <w:p w14:paraId="5F6F2932">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52" w:type="pct"/>
                  <w:tcBorders>
                    <w:tl2br w:val="nil"/>
                    <w:tr2bl w:val="nil"/>
                  </w:tcBorders>
                  <w:shd w:val="clear" w:color="auto" w:fill="auto"/>
                  <w:vAlign w:val="center"/>
                </w:tcPr>
                <w:p w14:paraId="4AEB800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sz w:val="21"/>
                      <w:szCs w:val="21"/>
                      <w:highlight w:val="none"/>
                      <w:u w:val="none"/>
                      <w:lang w:val="en-US"/>
                    </w:rPr>
                    <w:t>一般固废暂存区</w:t>
                  </w:r>
                </w:p>
              </w:tc>
              <w:tc>
                <w:tcPr>
                  <w:tcW w:w="738" w:type="pct"/>
                  <w:tcBorders>
                    <w:tl2br w:val="nil"/>
                    <w:tr2bl w:val="nil"/>
                  </w:tcBorders>
                  <w:shd w:val="clear" w:color="auto" w:fill="auto"/>
                  <w:vAlign w:val="center"/>
                </w:tcPr>
                <w:p w14:paraId="7D15CA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外售</w:t>
                  </w:r>
                </w:p>
              </w:tc>
            </w:tr>
            <w:tr w14:paraId="0AF87D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restart"/>
                  <w:tcBorders>
                    <w:tl2br w:val="nil"/>
                    <w:tr2bl w:val="nil"/>
                  </w:tcBorders>
                  <w:shd w:val="clear" w:color="auto" w:fill="auto"/>
                  <w:vAlign w:val="center"/>
                </w:tcPr>
                <w:p w14:paraId="09941B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危险废物</w:t>
                  </w:r>
                </w:p>
              </w:tc>
              <w:tc>
                <w:tcPr>
                  <w:tcW w:w="876" w:type="pct"/>
                  <w:tcBorders>
                    <w:tl2br w:val="nil"/>
                    <w:tr2bl w:val="nil"/>
                  </w:tcBorders>
                  <w:shd w:val="clear" w:color="auto" w:fill="auto"/>
                  <w:noWrap/>
                  <w:vAlign w:val="center"/>
                </w:tcPr>
                <w:p w14:paraId="5AB154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snapToGrid/>
                      <w:color w:val="auto"/>
                      <w:kern w:val="2"/>
                      <w:sz w:val="21"/>
                      <w:szCs w:val="21"/>
                      <w:highlight w:val="none"/>
                      <w:lang w:val="en-US" w:eastAsia="zh-CN"/>
                    </w:rPr>
                    <w:t>废液压油</w:t>
                  </w:r>
                </w:p>
              </w:tc>
              <w:tc>
                <w:tcPr>
                  <w:tcW w:w="451" w:type="pct"/>
                  <w:tcBorders>
                    <w:tl2br w:val="nil"/>
                    <w:tr2bl w:val="nil"/>
                  </w:tcBorders>
                  <w:shd w:val="clear" w:color="auto" w:fill="auto"/>
                  <w:vAlign w:val="center"/>
                </w:tcPr>
                <w:p w14:paraId="40F827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液态</w:t>
                  </w:r>
                </w:p>
              </w:tc>
              <w:tc>
                <w:tcPr>
                  <w:tcW w:w="820" w:type="pct"/>
                  <w:tcBorders>
                    <w:tl2br w:val="nil"/>
                    <w:tr2bl w:val="nil"/>
                  </w:tcBorders>
                  <w:shd w:val="clear" w:color="auto" w:fill="auto"/>
                  <w:vAlign w:val="center"/>
                </w:tcPr>
                <w:p w14:paraId="0E3159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color w:val="auto"/>
                      <w:kern w:val="2"/>
                      <w:sz w:val="21"/>
                      <w:szCs w:val="21"/>
                      <w:highlight w:val="none"/>
                      <w:lang w:val="en-US" w:eastAsia="zh-CN"/>
                    </w:rPr>
                  </w:pPr>
                  <w:r>
                    <w:rPr>
                      <w:rFonts w:hint="default" w:ascii="Times New Roman" w:hAnsi="Times New Roman" w:eastAsia="宋体" w:cs="Times New Roman"/>
                      <w:b w:val="0"/>
                      <w:bCs w:val="0"/>
                      <w:snapToGrid/>
                      <w:color w:val="auto"/>
                      <w:kern w:val="2"/>
                      <w:sz w:val="21"/>
                      <w:szCs w:val="21"/>
                      <w:highlight w:val="none"/>
                      <w:lang w:val="en-US" w:eastAsia="zh-CN"/>
                    </w:rPr>
                    <w:t>HW08</w:t>
                  </w:r>
                </w:p>
                <w:p w14:paraId="3F202F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snapToGrid/>
                      <w:color w:val="auto"/>
                      <w:kern w:val="2"/>
                      <w:sz w:val="21"/>
                      <w:szCs w:val="21"/>
                      <w:highlight w:val="none"/>
                      <w:lang w:val="en-US" w:eastAsia="zh-CN"/>
                    </w:rPr>
                    <w:t>900-218-08</w:t>
                  </w:r>
                </w:p>
              </w:tc>
              <w:tc>
                <w:tcPr>
                  <w:tcW w:w="461" w:type="pct"/>
                  <w:tcBorders>
                    <w:tl2br w:val="nil"/>
                    <w:tr2bl w:val="nil"/>
                  </w:tcBorders>
                  <w:shd w:val="clear" w:color="auto" w:fill="auto"/>
                  <w:noWrap/>
                  <w:vAlign w:val="center"/>
                </w:tcPr>
                <w:p w14:paraId="758719A2">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auto"/>
                    <w:ind w:left="0" w:right="0" w:rightChars="0"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rPr>
                    <w:t>T，I</w:t>
                  </w:r>
                </w:p>
              </w:tc>
              <w:tc>
                <w:tcPr>
                  <w:tcW w:w="594" w:type="pct"/>
                  <w:tcBorders>
                    <w:tl2br w:val="nil"/>
                    <w:tr2bl w:val="nil"/>
                  </w:tcBorders>
                  <w:shd w:val="clear" w:color="auto" w:fill="auto"/>
                  <w:vAlign w:val="center"/>
                </w:tcPr>
                <w:p w14:paraId="7CBE0F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val="0"/>
                      <w:bCs w:val="0"/>
                      <w:snapToGrid/>
                      <w:color w:val="auto"/>
                      <w:kern w:val="2"/>
                      <w:sz w:val="21"/>
                      <w:szCs w:val="21"/>
                      <w:highlight w:val="none"/>
                      <w:lang w:val="en-US" w:eastAsia="zh-CN"/>
                    </w:rPr>
                    <w:t>0.49</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52" w:type="pct"/>
                  <w:vMerge w:val="restart"/>
                  <w:tcBorders>
                    <w:tl2br w:val="nil"/>
                    <w:tr2bl w:val="nil"/>
                  </w:tcBorders>
                  <w:shd w:val="clear" w:color="auto" w:fill="auto"/>
                  <w:vAlign w:val="center"/>
                </w:tcPr>
                <w:p w14:paraId="7FA550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危废贮存库</w:t>
                  </w:r>
                </w:p>
              </w:tc>
              <w:tc>
                <w:tcPr>
                  <w:tcW w:w="738" w:type="pct"/>
                  <w:vMerge w:val="restart"/>
                  <w:tcBorders>
                    <w:tl2br w:val="nil"/>
                    <w:tr2bl w:val="nil"/>
                  </w:tcBorders>
                  <w:shd w:val="clear" w:color="auto" w:fill="auto"/>
                  <w:vAlign w:val="center"/>
                </w:tcPr>
                <w:p w14:paraId="4AF75BE6">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定期交由有资质单位处置</w:t>
                  </w:r>
                </w:p>
              </w:tc>
            </w:tr>
            <w:tr w14:paraId="510FAB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257522F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17ACB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snapToGrid/>
                      <w:color w:val="auto"/>
                      <w:kern w:val="2"/>
                      <w:sz w:val="21"/>
                      <w:szCs w:val="21"/>
                      <w:highlight w:val="none"/>
                      <w:lang w:val="en-US" w:eastAsia="zh-CN"/>
                    </w:rPr>
                    <w:t>废真空泵油</w:t>
                  </w:r>
                </w:p>
              </w:tc>
              <w:tc>
                <w:tcPr>
                  <w:tcW w:w="451" w:type="pct"/>
                  <w:tcBorders>
                    <w:tl2br w:val="nil"/>
                    <w:tr2bl w:val="nil"/>
                  </w:tcBorders>
                  <w:shd w:val="clear" w:color="auto" w:fill="auto"/>
                  <w:vAlign w:val="center"/>
                </w:tcPr>
                <w:p w14:paraId="2794AB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液态</w:t>
                  </w:r>
                </w:p>
              </w:tc>
              <w:tc>
                <w:tcPr>
                  <w:tcW w:w="820" w:type="pct"/>
                  <w:tcBorders>
                    <w:tl2br w:val="nil"/>
                    <w:tr2bl w:val="nil"/>
                  </w:tcBorders>
                  <w:shd w:val="clear" w:color="auto" w:fill="auto"/>
                  <w:vAlign w:val="center"/>
                </w:tcPr>
                <w:p w14:paraId="01D987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color w:val="auto"/>
                      <w:kern w:val="2"/>
                      <w:sz w:val="21"/>
                      <w:szCs w:val="21"/>
                      <w:highlight w:val="none"/>
                      <w:lang w:val="en-US" w:eastAsia="zh-CN"/>
                    </w:rPr>
                  </w:pPr>
                  <w:r>
                    <w:rPr>
                      <w:rFonts w:hint="default" w:ascii="Times New Roman" w:hAnsi="Times New Roman" w:eastAsia="宋体" w:cs="Times New Roman"/>
                      <w:b w:val="0"/>
                      <w:bCs w:val="0"/>
                      <w:snapToGrid/>
                      <w:color w:val="auto"/>
                      <w:kern w:val="2"/>
                      <w:sz w:val="21"/>
                      <w:szCs w:val="21"/>
                      <w:highlight w:val="none"/>
                      <w:lang w:val="en-US" w:eastAsia="zh-CN"/>
                    </w:rPr>
                    <w:t>HW08</w:t>
                  </w:r>
                </w:p>
                <w:p w14:paraId="21B560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snapToGrid/>
                      <w:color w:val="auto"/>
                      <w:kern w:val="2"/>
                      <w:sz w:val="21"/>
                      <w:szCs w:val="21"/>
                      <w:highlight w:val="none"/>
                      <w:lang w:val="en-US" w:eastAsia="zh-CN"/>
                    </w:rPr>
                    <w:t>900-21</w:t>
                  </w:r>
                  <w:r>
                    <w:rPr>
                      <w:rFonts w:hint="eastAsia" w:ascii="Times New Roman" w:hAnsi="Times New Roman" w:eastAsia="宋体" w:cs="Times New Roman"/>
                      <w:b w:val="0"/>
                      <w:bCs w:val="0"/>
                      <w:snapToGrid/>
                      <w:color w:val="auto"/>
                      <w:kern w:val="2"/>
                      <w:sz w:val="21"/>
                      <w:szCs w:val="21"/>
                      <w:highlight w:val="none"/>
                      <w:lang w:val="en-US" w:eastAsia="zh-CN"/>
                    </w:rPr>
                    <w:t>4</w:t>
                  </w:r>
                  <w:r>
                    <w:rPr>
                      <w:rFonts w:hint="default" w:ascii="Times New Roman" w:hAnsi="Times New Roman" w:eastAsia="宋体" w:cs="Times New Roman"/>
                      <w:b w:val="0"/>
                      <w:bCs w:val="0"/>
                      <w:snapToGrid/>
                      <w:color w:val="auto"/>
                      <w:kern w:val="2"/>
                      <w:sz w:val="21"/>
                      <w:szCs w:val="21"/>
                      <w:highlight w:val="none"/>
                      <w:lang w:val="en-US" w:eastAsia="zh-CN"/>
                    </w:rPr>
                    <w:t>-08</w:t>
                  </w:r>
                </w:p>
              </w:tc>
              <w:tc>
                <w:tcPr>
                  <w:tcW w:w="461" w:type="pct"/>
                  <w:tcBorders>
                    <w:tl2br w:val="nil"/>
                    <w:tr2bl w:val="nil"/>
                  </w:tcBorders>
                  <w:shd w:val="clear" w:color="auto" w:fill="auto"/>
                  <w:vAlign w:val="center"/>
                </w:tcPr>
                <w:p w14:paraId="50900BE0">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auto"/>
                    <w:ind w:left="0" w:right="0" w:rightChars="0"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rPr>
                    <w:t>T，I</w:t>
                  </w:r>
                </w:p>
              </w:tc>
              <w:tc>
                <w:tcPr>
                  <w:tcW w:w="594" w:type="pct"/>
                  <w:tcBorders>
                    <w:tl2br w:val="nil"/>
                    <w:tr2bl w:val="nil"/>
                  </w:tcBorders>
                  <w:shd w:val="clear" w:color="auto" w:fill="auto"/>
                  <w:vAlign w:val="center"/>
                </w:tcPr>
                <w:p w14:paraId="0EBBC3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val="0"/>
                      <w:bCs w:val="0"/>
                      <w:snapToGrid/>
                      <w:color w:val="auto"/>
                      <w:kern w:val="2"/>
                      <w:sz w:val="21"/>
                      <w:szCs w:val="21"/>
                      <w:highlight w:val="none"/>
                      <w:lang w:val="en-US" w:eastAsia="zh-CN"/>
                    </w:rPr>
                    <w:t xml:space="preserve">0.5 </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52" w:type="pct"/>
                  <w:vMerge w:val="continue"/>
                  <w:tcBorders>
                    <w:tl2br w:val="nil"/>
                    <w:tr2bl w:val="nil"/>
                  </w:tcBorders>
                  <w:shd w:val="clear" w:color="auto" w:fill="auto"/>
                  <w:vAlign w:val="center"/>
                </w:tcPr>
                <w:p w14:paraId="7BAC2A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0B5DC47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59DA9D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3166660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2D070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snapToGrid/>
                      <w:color w:val="auto"/>
                      <w:kern w:val="2"/>
                      <w:sz w:val="21"/>
                      <w:szCs w:val="21"/>
                      <w:highlight w:val="none"/>
                      <w:lang w:val="en-US" w:eastAsia="zh-CN"/>
                    </w:rPr>
                    <w:t>废润滑油</w:t>
                  </w:r>
                </w:p>
              </w:tc>
              <w:tc>
                <w:tcPr>
                  <w:tcW w:w="451" w:type="pct"/>
                  <w:tcBorders>
                    <w:tl2br w:val="nil"/>
                    <w:tr2bl w:val="nil"/>
                  </w:tcBorders>
                  <w:shd w:val="clear" w:color="auto" w:fill="auto"/>
                  <w:vAlign w:val="center"/>
                </w:tcPr>
                <w:p w14:paraId="1CC852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液态</w:t>
                  </w:r>
                </w:p>
              </w:tc>
              <w:tc>
                <w:tcPr>
                  <w:tcW w:w="820" w:type="pct"/>
                  <w:tcBorders>
                    <w:tl2br w:val="nil"/>
                    <w:tr2bl w:val="nil"/>
                  </w:tcBorders>
                  <w:shd w:val="clear" w:color="auto" w:fill="auto"/>
                  <w:vAlign w:val="center"/>
                </w:tcPr>
                <w:p w14:paraId="08FB14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color w:val="auto"/>
                      <w:kern w:val="2"/>
                      <w:sz w:val="21"/>
                      <w:szCs w:val="21"/>
                      <w:highlight w:val="none"/>
                      <w:lang w:val="en-US" w:eastAsia="zh-CN"/>
                    </w:rPr>
                  </w:pPr>
                  <w:r>
                    <w:rPr>
                      <w:rFonts w:hint="default" w:ascii="Times New Roman" w:hAnsi="Times New Roman" w:eastAsia="宋体" w:cs="Times New Roman"/>
                      <w:b w:val="0"/>
                      <w:bCs w:val="0"/>
                      <w:snapToGrid/>
                      <w:color w:val="auto"/>
                      <w:kern w:val="2"/>
                      <w:sz w:val="21"/>
                      <w:szCs w:val="21"/>
                      <w:highlight w:val="none"/>
                      <w:lang w:val="en-US" w:eastAsia="zh-CN"/>
                    </w:rPr>
                    <w:t>HW08</w:t>
                  </w:r>
                </w:p>
                <w:p w14:paraId="44CAD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snapToGrid/>
                      <w:color w:val="auto"/>
                      <w:kern w:val="2"/>
                      <w:sz w:val="21"/>
                      <w:szCs w:val="21"/>
                      <w:highlight w:val="none"/>
                      <w:lang w:val="en-US" w:eastAsia="zh-CN"/>
                    </w:rPr>
                    <w:t>900-21</w:t>
                  </w:r>
                  <w:r>
                    <w:rPr>
                      <w:rFonts w:hint="eastAsia" w:ascii="Times New Roman" w:hAnsi="Times New Roman" w:eastAsia="宋体" w:cs="Times New Roman"/>
                      <w:b w:val="0"/>
                      <w:bCs w:val="0"/>
                      <w:snapToGrid/>
                      <w:color w:val="auto"/>
                      <w:kern w:val="2"/>
                      <w:sz w:val="21"/>
                      <w:szCs w:val="21"/>
                      <w:highlight w:val="none"/>
                      <w:lang w:val="en-US" w:eastAsia="zh-CN"/>
                    </w:rPr>
                    <w:t>4</w:t>
                  </w:r>
                  <w:r>
                    <w:rPr>
                      <w:rFonts w:hint="default" w:ascii="Times New Roman" w:hAnsi="Times New Roman" w:eastAsia="宋体" w:cs="Times New Roman"/>
                      <w:b w:val="0"/>
                      <w:bCs w:val="0"/>
                      <w:snapToGrid/>
                      <w:color w:val="auto"/>
                      <w:kern w:val="2"/>
                      <w:sz w:val="21"/>
                      <w:szCs w:val="21"/>
                      <w:highlight w:val="none"/>
                      <w:lang w:val="en-US" w:eastAsia="zh-CN"/>
                    </w:rPr>
                    <w:t>-08</w:t>
                  </w:r>
                </w:p>
              </w:tc>
              <w:tc>
                <w:tcPr>
                  <w:tcW w:w="461" w:type="pct"/>
                  <w:tcBorders>
                    <w:tl2br w:val="nil"/>
                    <w:tr2bl w:val="nil"/>
                  </w:tcBorders>
                  <w:shd w:val="clear" w:color="auto" w:fill="auto"/>
                  <w:vAlign w:val="center"/>
                </w:tcPr>
                <w:p w14:paraId="440B43F2">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auto"/>
                    <w:ind w:left="0" w:right="0" w:rightChars="0"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rPr>
                    <w:t>T，I</w:t>
                  </w:r>
                </w:p>
              </w:tc>
              <w:tc>
                <w:tcPr>
                  <w:tcW w:w="594" w:type="pct"/>
                  <w:tcBorders>
                    <w:tl2br w:val="nil"/>
                    <w:tr2bl w:val="nil"/>
                  </w:tcBorders>
                  <w:shd w:val="clear" w:color="auto" w:fill="auto"/>
                  <w:vAlign w:val="center"/>
                </w:tcPr>
                <w:p w14:paraId="07353A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val="0"/>
                      <w:bCs w:val="0"/>
                      <w:snapToGrid/>
                      <w:color w:val="auto"/>
                      <w:kern w:val="2"/>
                      <w:sz w:val="21"/>
                      <w:szCs w:val="21"/>
                      <w:highlight w:val="none"/>
                      <w:lang w:val="en-US" w:eastAsia="zh-CN"/>
                    </w:rPr>
                    <w:t>0.01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52" w:type="pct"/>
                  <w:vMerge w:val="continue"/>
                  <w:tcBorders>
                    <w:tl2br w:val="nil"/>
                    <w:tr2bl w:val="nil"/>
                  </w:tcBorders>
                  <w:shd w:val="clear" w:color="auto" w:fill="auto"/>
                  <w:vAlign w:val="center"/>
                </w:tcPr>
                <w:p w14:paraId="76D0C31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22191ED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18E671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434EA2C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1BF868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b w:val="0"/>
                      <w:bCs w:val="0"/>
                      <w:snapToGrid/>
                      <w:color w:val="auto"/>
                      <w:kern w:val="2"/>
                      <w:sz w:val="21"/>
                      <w:szCs w:val="21"/>
                      <w:highlight w:val="none"/>
                      <w:lang w:val="en-US" w:eastAsia="zh-CN"/>
                    </w:rPr>
                    <w:t>废</w:t>
                  </w:r>
                  <w:r>
                    <w:rPr>
                      <w:rFonts w:hint="default" w:ascii="Times New Roman" w:hAnsi="Times New Roman" w:eastAsia="宋体" w:cs="Times New Roman"/>
                      <w:b w:val="0"/>
                      <w:bCs w:val="0"/>
                      <w:snapToGrid/>
                      <w:color w:val="auto"/>
                      <w:kern w:val="2"/>
                      <w:sz w:val="21"/>
                      <w:szCs w:val="21"/>
                      <w:highlight w:val="none"/>
                      <w:lang w:val="en-US" w:eastAsia="zh-CN"/>
                    </w:rPr>
                    <w:t>油桶</w:t>
                  </w:r>
                </w:p>
              </w:tc>
              <w:tc>
                <w:tcPr>
                  <w:tcW w:w="451" w:type="pct"/>
                  <w:tcBorders>
                    <w:tl2br w:val="nil"/>
                    <w:tr2bl w:val="nil"/>
                  </w:tcBorders>
                  <w:shd w:val="clear" w:color="auto" w:fill="auto"/>
                  <w:vAlign w:val="center"/>
                </w:tcPr>
                <w:p w14:paraId="42282E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820" w:type="pct"/>
                  <w:tcBorders>
                    <w:tl2br w:val="nil"/>
                    <w:tr2bl w:val="nil"/>
                  </w:tcBorders>
                  <w:shd w:val="clear" w:color="auto" w:fill="auto"/>
                  <w:vAlign w:val="center"/>
                </w:tcPr>
                <w:p w14:paraId="075C56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p w14:paraId="445F3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461" w:type="pct"/>
                  <w:tcBorders>
                    <w:tl2br w:val="nil"/>
                    <w:tr2bl w:val="nil"/>
                  </w:tcBorders>
                  <w:shd w:val="clear" w:color="auto" w:fill="auto"/>
                  <w:vAlign w:val="center"/>
                </w:tcPr>
                <w:p w14:paraId="7C2300D1">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auto"/>
                    <w:ind w:left="0" w:right="0" w:rightChars="0"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snapToGrid w:val="0"/>
                      <w:color w:val="auto"/>
                      <w:kern w:val="0"/>
                      <w:sz w:val="21"/>
                      <w:szCs w:val="21"/>
                      <w:highlight w:val="none"/>
                    </w:rPr>
                    <w:t>T/In</w:t>
                  </w:r>
                </w:p>
              </w:tc>
              <w:tc>
                <w:tcPr>
                  <w:tcW w:w="594" w:type="pct"/>
                  <w:tcBorders>
                    <w:tl2br w:val="nil"/>
                    <w:tr2bl w:val="nil"/>
                  </w:tcBorders>
                  <w:shd w:val="clear" w:color="auto" w:fill="auto"/>
                  <w:vAlign w:val="center"/>
                </w:tcPr>
                <w:p w14:paraId="20C090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val="0"/>
                      <w:bCs w:val="0"/>
                      <w:snapToGrid/>
                      <w:color w:val="auto"/>
                      <w:kern w:val="2"/>
                      <w:sz w:val="21"/>
                      <w:szCs w:val="21"/>
                      <w:highlight w:val="none"/>
                      <w:lang w:val="en-US" w:eastAsia="zh-CN"/>
                    </w:rPr>
                    <w:t>0</w:t>
                  </w:r>
                  <w:r>
                    <w:rPr>
                      <w:rFonts w:hint="eastAsia" w:ascii="Times New Roman" w:hAnsi="Times New Roman" w:eastAsia="宋体" w:cs="Times New Roman"/>
                      <w:b w:val="0"/>
                      <w:bCs w:val="0"/>
                      <w:snapToGrid/>
                      <w:color w:val="auto"/>
                      <w:kern w:val="2"/>
                      <w:sz w:val="21"/>
                      <w:szCs w:val="21"/>
                      <w:highlight w:val="none"/>
                      <w:lang w:val="en-US" w:eastAsia="zh-CN"/>
                    </w:rPr>
                    <w:t>.2</w:t>
                  </w:r>
                  <w:r>
                    <w:rPr>
                      <w:rFonts w:hint="default" w:ascii="Times New Roman" w:hAnsi="Times New Roman" w:eastAsia="宋体" w:cs="Times New Roman"/>
                      <w:b w:val="0"/>
                      <w:bCs w:val="0"/>
                      <w:snapToGrid/>
                      <w:color w:val="auto"/>
                      <w:kern w:val="2"/>
                      <w:sz w:val="21"/>
                      <w:szCs w:val="21"/>
                      <w:highlight w:val="none"/>
                      <w:lang w:val="en-US" w:eastAsia="zh-CN"/>
                    </w:rPr>
                    <w:t xml:space="preserve"> </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52" w:type="pct"/>
                  <w:vMerge w:val="continue"/>
                  <w:tcBorders>
                    <w:tl2br w:val="nil"/>
                    <w:tr2bl w:val="nil"/>
                  </w:tcBorders>
                  <w:shd w:val="clear" w:color="auto" w:fill="auto"/>
                  <w:vAlign w:val="center"/>
                </w:tcPr>
                <w:p w14:paraId="70845F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51554D7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6FC6F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3C9F410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296E64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snapToGrid/>
                      <w:color w:val="auto"/>
                      <w:kern w:val="2"/>
                      <w:sz w:val="21"/>
                      <w:szCs w:val="21"/>
                      <w:highlight w:val="none"/>
                      <w:lang w:val="en-US" w:eastAsia="zh-CN"/>
                    </w:rPr>
                    <w:t>废切削液</w:t>
                  </w:r>
                </w:p>
              </w:tc>
              <w:tc>
                <w:tcPr>
                  <w:tcW w:w="451" w:type="pct"/>
                  <w:tcBorders>
                    <w:tl2br w:val="nil"/>
                    <w:tr2bl w:val="nil"/>
                  </w:tcBorders>
                  <w:shd w:val="clear" w:color="auto" w:fill="auto"/>
                  <w:vAlign w:val="center"/>
                </w:tcPr>
                <w:p w14:paraId="6E820C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液态</w:t>
                  </w:r>
                </w:p>
              </w:tc>
              <w:tc>
                <w:tcPr>
                  <w:tcW w:w="820" w:type="pct"/>
                  <w:tcBorders>
                    <w:tl2br w:val="nil"/>
                    <w:tr2bl w:val="nil"/>
                  </w:tcBorders>
                  <w:shd w:val="clear" w:color="auto" w:fill="auto"/>
                  <w:vAlign w:val="center"/>
                </w:tcPr>
                <w:p w14:paraId="0B8890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color w:val="auto"/>
                      <w:kern w:val="2"/>
                      <w:sz w:val="21"/>
                      <w:szCs w:val="21"/>
                      <w:highlight w:val="none"/>
                      <w:lang w:val="en-US" w:eastAsia="zh-CN"/>
                    </w:rPr>
                  </w:pPr>
                  <w:r>
                    <w:rPr>
                      <w:rFonts w:hint="default" w:ascii="Times New Roman" w:hAnsi="Times New Roman" w:eastAsia="宋体" w:cs="Times New Roman"/>
                      <w:b w:val="0"/>
                      <w:bCs w:val="0"/>
                      <w:snapToGrid/>
                      <w:color w:val="auto"/>
                      <w:kern w:val="2"/>
                      <w:sz w:val="21"/>
                      <w:szCs w:val="21"/>
                      <w:highlight w:val="none"/>
                      <w:lang w:val="en-US" w:eastAsia="zh-CN"/>
                    </w:rPr>
                    <w:t>HW08</w:t>
                  </w:r>
                </w:p>
                <w:p w14:paraId="230697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snapToGrid/>
                      <w:color w:val="auto"/>
                      <w:kern w:val="2"/>
                      <w:sz w:val="21"/>
                      <w:szCs w:val="21"/>
                      <w:highlight w:val="none"/>
                      <w:lang w:val="en-US" w:eastAsia="zh-CN"/>
                    </w:rPr>
                    <w:t>900-21</w:t>
                  </w:r>
                  <w:r>
                    <w:rPr>
                      <w:rFonts w:hint="eastAsia" w:ascii="Times New Roman" w:hAnsi="Times New Roman" w:eastAsia="宋体" w:cs="Times New Roman"/>
                      <w:b w:val="0"/>
                      <w:bCs w:val="0"/>
                      <w:snapToGrid/>
                      <w:color w:val="auto"/>
                      <w:kern w:val="2"/>
                      <w:sz w:val="21"/>
                      <w:szCs w:val="21"/>
                      <w:highlight w:val="none"/>
                      <w:lang w:val="en-US" w:eastAsia="zh-CN"/>
                    </w:rPr>
                    <w:t>4</w:t>
                  </w:r>
                  <w:r>
                    <w:rPr>
                      <w:rFonts w:hint="default" w:ascii="Times New Roman" w:hAnsi="Times New Roman" w:eastAsia="宋体" w:cs="Times New Roman"/>
                      <w:b w:val="0"/>
                      <w:bCs w:val="0"/>
                      <w:snapToGrid/>
                      <w:color w:val="auto"/>
                      <w:kern w:val="2"/>
                      <w:sz w:val="21"/>
                      <w:szCs w:val="21"/>
                      <w:highlight w:val="none"/>
                      <w:lang w:val="en-US" w:eastAsia="zh-CN"/>
                    </w:rPr>
                    <w:t>-08</w:t>
                  </w:r>
                </w:p>
              </w:tc>
              <w:tc>
                <w:tcPr>
                  <w:tcW w:w="461" w:type="pct"/>
                  <w:tcBorders>
                    <w:tl2br w:val="nil"/>
                    <w:tr2bl w:val="nil"/>
                  </w:tcBorders>
                  <w:shd w:val="clear" w:color="auto" w:fill="auto"/>
                  <w:vAlign w:val="center"/>
                </w:tcPr>
                <w:p w14:paraId="25383B36">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auto"/>
                    <w:ind w:left="0" w:right="0" w:rightChars="0"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rPr>
                    <w:t>T，I</w:t>
                  </w:r>
                </w:p>
              </w:tc>
              <w:tc>
                <w:tcPr>
                  <w:tcW w:w="594" w:type="pct"/>
                  <w:tcBorders>
                    <w:tl2br w:val="nil"/>
                    <w:tr2bl w:val="nil"/>
                  </w:tcBorders>
                  <w:shd w:val="clear" w:color="auto" w:fill="auto"/>
                  <w:vAlign w:val="center"/>
                </w:tcPr>
                <w:p w14:paraId="10A0F5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52" w:type="pct"/>
                  <w:vMerge w:val="continue"/>
                  <w:tcBorders>
                    <w:tl2br w:val="nil"/>
                    <w:tr2bl w:val="nil"/>
                  </w:tcBorders>
                  <w:shd w:val="clear" w:color="auto" w:fill="auto"/>
                  <w:vAlign w:val="center"/>
                </w:tcPr>
                <w:p w14:paraId="20B891B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52BECC9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138FC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2222EF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55C657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snapToGrid/>
                      <w:color w:val="auto"/>
                      <w:kern w:val="2"/>
                      <w:sz w:val="21"/>
                      <w:szCs w:val="21"/>
                      <w:highlight w:val="none"/>
                      <w:lang w:val="en-US" w:eastAsia="zh-CN"/>
                    </w:rPr>
                    <w:t>含油废抹布手套</w:t>
                  </w:r>
                </w:p>
              </w:tc>
              <w:tc>
                <w:tcPr>
                  <w:tcW w:w="451" w:type="pct"/>
                  <w:tcBorders>
                    <w:tl2br w:val="nil"/>
                    <w:tr2bl w:val="nil"/>
                  </w:tcBorders>
                  <w:shd w:val="clear" w:color="auto" w:fill="auto"/>
                  <w:vAlign w:val="center"/>
                </w:tcPr>
                <w:p w14:paraId="526053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820" w:type="pct"/>
                  <w:tcBorders>
                    <w:tl2br w:val="nil"/>
                    <w:tr2bl w:val="nil"/>
                  </w:tcBorders>
                  <w:shd w:val="clear" w:color="auto" w:fill="auto"/>
                  <w:vAlign w:val="center"/>
                </w:tcPr>
                <w:p w14:paraId="3CEB8D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p w14:paraId="06D4D8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461" w:type="pct"/>
                  <w:tcBorders>
                    <w:tl2br w:val="nil"/>
                    <w:tr2bl w:val="nil"/>
                  </w:tcBorders>
                  <w:shd w:val="clear" w:color="auto" w:fill="auto"/>
                  <w:vAlign w:val="center"/>
                </w:tcPr>
                <w:p w14:paraId="4648AD52">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auto"/>
                    <w:ind w:left="0" w:right="0" w:rightChars="0"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snapToGrid w:val="0"/>
                      <w:color w:val="auto"/>
                      <w:kern w:val="0"/>
                      <w:sz w:val="21"/>
                      <w:szCs w:val="21"/>
                      <w:highlight w:val="none"/>
                    </w:rPr>
                    <w:t>T/In</w:t>
                  </w:r>
                </w:p>
              </w:tc>
              <w:tc>
                <w:tcPr>
                  <w:tcW w:w="594" w:type="pct"/>
                  <w:tcBorders>
                    <w:tl2br w:val="nil"/>
                    <w:tr2bl w:val="nil"/>
                  </w:tcBorders>
                  <w:shd w:val="clear" w:color="auto" w:fill="auto"/>
                  <w:vAlign w:val="center"/>
                </w:tcPr>
                <w:p w14:paraId="4595A7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52" w:type="pct"/>
                  <w:vMerge w:val="continue"/>
                  <w:tcBorders>
                    <w:tl2br w:val="nil"/>
                    <w:tr2bl w:val="nil"/>
                  </w:tcBorders>
                  <w:shd w:val="clear" w:color="auto" w:fill="auto"/>
                  <w:vAlign w:val="center"/>
                </w:tcPr>
                <w:p w14:paraId="6451ECD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404E8CA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3042A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15DCAEB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vAlign w:val="center"/>
                </w:tcPr>
                <w:p w14:paraId="7D3886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color w:val="auto"/>
                      <w:sz w:val="21"/>
                      <w:szCs w:val="21"/>
                      <w:highlight w:val="none"/>
                      <w:lang w:val="en-US" w:eastAsia="zh-CN"/>
                    </w:rPr>
                    <w:t>样品废液</w:t>
                  </w:r>
                </w:p>
              </w:tc>
              <w:tc>
                <w:tcPr>
                  <w:tcW w:w="451" w:type="pct"/>
                  <w:tcBorders>
                    <w:tl2br w:val="nil"/>
                    <w:tr2bl w:val="nil"/>
                  </w:tcBorders>
                  <w:shd w:val="clear" w:color="auto" w:fill="auto"/>
                  <w:vAlign w:val="center"/>
                </w:tcPr>
                <w:p w14:paraId="1562B7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液态</w:t>
                  </w:r>
                </w:p>
              </w:tc>
              <w:tc>
                <w:tcPr>
                  <w:tcW w:w="820" w:type="pct"/>
                  <w:tcBorders>
                    <w:tl2br w:val="nil"/>
                    <w:tr2bl w:val="nil"/>
                  </w:tcBorders>
                  <w:shd w:val="clear" w:color="auto" w:fill="auto"/>
                  <w:vAlign w:val="center"/>
                </w:tcPr>
                <w:p w14:paraId="599C6E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p w14:paraId="1B95F1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900-04</w:t>
                  </w:r>
                  <w:r>
                    <w:rPr>
                      <w:rFonts w:hint="eastAsia" w:ascii="Times New Roman" w:hAnsi="Times New Roman" w:eastAsia="宋体"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461" w:type="pct"/>
                  <w:tcBorders>
                    <w:tl2br w:val="nil"/>
                    <w:tr2bl w:val="nil"/>
                  </w:tcBorders>
                  <w:shd w:val="clear" w:color="auto" w:fill="auto"/>
                  <w:noWrap/>
                  <w:vAlign w:val="center"/>
                </w:tcPr>
                <w:p w14:paraId="5B584D67">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240" w:lineRule="auto"/>
                    <w:ind w:left="0" w:right="0" w:rightChars="0"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rPr>
                    <w:t>T，I</w:t>
                  </w:r>
                </w:p>
              </w:tc>
              <w:tc>
                <w:tcPr>
                  <w:tcW w:w="594" w:type="pct"/>
                  <w:tcBorders>
                    <w:tl2br w:val="nil"/>
                    <w:tr2bl w:val="nil"/>
                  </w:tcBorders>
                  <w:shd w:val="clear" w:color="auto" w:fill="auto"/>
                  <w:vAlign w:val="center"/>
                </w:tcPr>
                <w:p w14:paraId="1E2AB6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198L/a</w:t>
                  </w:r>
                </w:p>
              </w:tc>
              <w:tc>
                <w:tcPr>
                  <w:tcW w:w="452" w:type="pct"/>
                  <w:vMerge w:val="continue"/>
                  <w:tcBorders>
                    <w:tl2br w:val="nil"/>
                    <w:tr2bl w:val="nil"/>
                  </w:tcBorders>
                  <w:shd w:val="clear" w:color="auto" w:fill="auto"/>
                  <w:vAlign w:val="center"/>
                </w:tcPr>
                <w:p w14:paraId="50F7E8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3697C9D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39D261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7886EC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7EAC57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b w:val="0"/>
                      <w:bCs w:val="0"/>
                      <w:snapToGrid/>
                      <w:color w:val="auto"/>
                      <w:kern w:val="2"/>
                      <w:sz w:val="21"/>
                      <w:szCs w:val="21"/>
                      <w:highlight w:val="none"/>
                      <w:lang w:val="en-US" w:eastAsia="zh-CN"/>
                    </w:rPr>
                    <w:t>实验器皿清洗废水</w:t>
                  </w:r>
                </w:p>
              </w:tc>
              <w:tc>
                <w:tcPr>
                  <w:tcW w:w="451" w:type="pct"/>
                  <w:tcBorders>
                    <w:tl2br w:val="nil"/>
                    <w:tr2bl w:val="nil"/>
                  </w:tcBorders>
                  <w:shd w:val="clear" w:color="auto" w:fill="auto"/>
                  <w:vAlign w:val="center"/>
                </w:tcPr>
                <w:p w14:paraId="4F134E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液态</w:t>
                  </w:r>
                </w:p>
              </w:tc>
              <w:tc>
                <w:tcPr>
                  <w:tcW w:w="820" w:type="pct"/>
                  <w:tcBorders>
                    <w:tl2br w:val="nil"/>
                    <w:tr2bl w:val="nil"/>
                  </w:tcBorders>
                  <w:shd w:val="clear" w:color="auto" w:fill="auto"/>
                  <w:vAlign w:val="center"/>
                </w:tcPr>
                <w:p w14:paraId="2C043D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p w14:paraId="167C0D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900-04</w:t>
                  </w:r>
                  <w:r>
                    <w:rPr>
                      <w:rFonts w:hint="eastAsia" w:ascii="Times New Roman" w:hAnsi="Times New Roman" w:eastAsia="宋体"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461" w:type="pct"/>
                  <w:tcBorders>
                    <w:tl2br w:val="nil"/>
                    <w:tr2bl w:val="nil"/>
                  </w:tcBorders>
                  <w:shd w:val="clear" w:color="auto" w:fill="auto"/>
                  <w:noWrap/>
                  <w:vAlign w:val="center"/>
                </w:tcPr>
                <w:p w14:paraId="4CB8F3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rPr>
                    <w:t>T，I</w:t>
                  </w:r>
                </w:p>
              </w:tc>
              <w:tc>
                <w:tcPr>
                  <w:tcW w:w="594" w:type="pct"/>
                  <w:tcBorders>
                    <w:tl2br w:val="nil"/>
                    <w:tr2bl w:val="nil"/>
                  </w:tcBorders>
                  <w:shd w:val="clear" w:color="auto" w:fill="auto"/>
                  <w:vAlign w:val="center"/>
                </w:tcPr>
                <w:p w14:paraId="14698C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452" w:type="pct"/>
                  <w:vMerge w:val="continue"/>
                  <w:tcBorders>
                    <w:tl2br w:val="nil"/>
                    <w:tr2bl w:val="nil"/>
                  </w:tcBorders>
                  <w:shd w:val="clear" w:color="auto" w:fill="auto"/>
                  <w:vAlign w:val="center"/>
                </w:tcPr>
                <w:p w14:paraId="11CAAE3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2C97DE8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13F889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0CBA262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45D190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乙醚清洗废液</w:t>
                  </w:r>
                </w:p>
              </w:tc>
              <w:tc>
                <w:tcPr>
                  <w:tcW w:w="451" w:type="pct"/>
                  <w:tcBorders>
                    <w:tl2br w:val="nil"/>
                    <w:tr2bl w:val="nil"/>
                  </w:tcBorders>
                  <w:shd w:val="clear" w:color="auto" w:fill="auto"/>
                  <w:vAlign w:val="center"/>
                </w:tcPr>
                <w:p w14:paraId="2B01A1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液态</w:t>
                  </w:r>
                </w:p>
              </w:tc>
              <w:tc>
                <w:tcPr>
                  <w:tcW w:w="820" w:type="pct"/>
                  <w:tcBorders>
                    <w:tl2br w:val="nil"/>
                    <w:tr2bl w:val="nil"/>
                  </w:tcBorders>
                  <w:shd w:val="clear" w:color="auto" w:fill="auto"/>
                  <w:vAlign w:val="center"/>
                </w:tcPr>
                <w:p w14:paraId="596E95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p w14:paraId="75A26C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900-04</w:t>
                  </w:r>
                  <w:r>
                    <w:rPr>
                      <w:rFonts w:hint="eastAsia" w:ascii="Times New Roman" w:hAnsi="Times New Roman" w:eastAsia="宋体"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461" w:type="pct"/>
                  <w:tcBorders>
                    <w:tl2br w:val="nil"/>
                    <w:tr2bl w:val="nil"/>
                  </w:tcBorders>
                  <w:shd w:val="clear" w:color="auto" w:fill="auto"/>
                  <w:noWrap/>
                  <w:vAlign w:val="center"/>
                </w:tcPr>
                <w:p w14:paraId="5EF0BE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lang w:val="en-US" w:eastAsia="zh-CN"/>
                    </w:rPr>
                    <w:t>T，I</w:t>
                  </w:r>
                </w:p>
              </w:tc>
              <w:tc>
                <w:tcPr>
                  <w:tcW w:w="594" w:type="pct"/>
                  <w:tcBorders>
                    <w:tl2br w:val="nil"/>
                    <w:tr2bl w:val="nil"/>
                  </w:tcBorders>
                  <w:shd w:val="clear" w:color="auto" w:fill="auto"/>
                  <w:vAlign w:val="center"/>
                </w:tcPr>
                <w:p w14:paraId="246599BF">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r>
                    <w:rPr>
                      <w:rFonts w:hint="eastAsia" w:ascii="Times New Roman" w:hAnsi="Times New Roman" w:eastAsia="宋体" w:cs="Times New Roman"/>
                      <w:color w:val="auto"/>
                      <w:sz w:val="21"/>
                      <w:szCs w:val="21"/>
                      <w:highlight w:val="none"/>
                      <w:lang w:val="en-US" w:eastAsia="zh-CN"/>
                    </w:rPr>
                    <w:t>L/a</w:t>
                  </w:r>
                </w:p>
              </w:tc>
              <w:tc>
                <w:tcPr>
                  <w:tcW w:w="452" w:type="pct"/>
                  <w:vMerge w:val="continue"/>
                  <w:tcBorders>
                    <w:tl2br w:val="nil"/>
                    <w:tr2bl w:val="nil"/>
                  </w:tcBorders>
                  <w:shd w:val="clear" w:color="auto" w:fill="auto"/>
                  <w:vAlign w:val="center"/>
                </w:tcPr>
                <w:p w14:paraId="0D65B71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457DF35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442EDE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76DBBA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0D9A99C7">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喷</w:t>
                  </w:r>
                  <w:r>
                    <w:rPr>
                      <w:rFonts w:hint="eastAsia" w:ascii="Times New Roman" w:hAnsi="Times New Roman" w:eastAsia="宋体" w:cs="Times New Roman"/>
                      <w:color w:val="auto"/>
                      <w:sz w:val="21"/>
                      <w:szCs w:val="21"/>
                      <w:highlight w:val="none"/>
                      <w:lang w:val="en-US" w:eastAsia="zh-CN"/>
                    </w:rPr>
                    <w:t>淋塔废水</w:t>
                  </w:r>
                </w:p>
              </w:tc>
              <w:tc>
                <w:tcPr>
                  <w:tcW w:w="451" w:type="pct"/>
                  <w:tcBorders>
                    <w:tl2br w:val="nil"/>
                    <w:tr2bl w:val="nil"/>
                  </w:tcBorders>
                  <w:shd w:val="clear" w:color="auto" w:fill="auto"/>
                  <w:vAlign w:val="center"/>
                </w:tcPr>
                <w:p w14:paraId="1594850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液态</w:t>
                  </w:r>
                </w:p>
              </w:tc>
              <w:tc>
                <w:tcPr>
                  <w:tcW w:w="820" w:type="pct"/>
                  <w:tcBorders>
                    <w:tl2br w:val="nil"/>
                    <w:tr2bl w:val="nil"/>
                  </w:tcBorders>
                  <w:shd w:val="clear" w:color="auto" w:fill="auto"/>
                  <w:vAlign w:val="center"/>
                </w:tcPr>
                <w:p w14:paraId="274CEF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p w14:paraId="7DE191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900-04</w:t>
                  </w:r>
                  <w:r>
                    <w:rPr>
                      <w:rFonts w:hint="eastAsia" w:ascii="Times New Roman" w:hAnsi="Times New Roman" w:eastAsia="宋体"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461" w:type="pct"/>
                  <w:tcBorders>
                    <w:tl2br w:val="nil"/>
                    <w:tr2bl w:val="nil"/>
                  </w:tcBorders>
                  <w:shd w:val="clear" w:color="auto" w:fill="auto"/>
                  <w:noWrap/>
                  <w:vAlign w:val="center"/>
                </w:tcPr>
                <w:p w14:paraId="5ACB87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T，I</w:t>
                  </w:r>
                </w:p>
              </w:tc>
              <w:tc>
                <w:tcPr>
                  <w:tcW w:w="594" w:type="pct"/>
                  <w:tcBorders>
                    <w:tl2br w:val="nil"/>
                    <w:tr2bl w:val="nil"/>
                  </w:tcBorders>
                  <w:shd w:val="clear" w:color="auto" w:fill="auto"/>
                  <w:vAlign w:val="center"/>
                </w:tcPr>
                <w:p w14:paraId="7309787F">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4.8m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tc>
              <w:tc>
                <w:tcPr>
                  <w:tcW w:w="452" w:type="pct"/>
                  <w:vMerge w:val="continue"/>
                  <w:tcBorders>
                    <w:tl2br w:val="nil"/>
                    <w:tr2bl w:val="nil"/>
                  </w:tcBorders>
                  <w:shd w:val="clear" w:color="auto" w:fill="auto"/>
                  <w:vAlign w:val="center"/>
                </w:tcPr>
                <w:p w14:paraId="2066482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78A7438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3837B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39C417B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384ADA4A">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废试剂瓶</w:t>
                  </w:r>
                </w:p>
              </w:tc>
              <w:tc>
                <w:tcPr>
                  <w:tcW w:w="451" w:type="pct"/>
                  <w:tcBorders>
                    <w:tl2br w:val="nil"/>
                    <w:tr2bl w:val="nil"/>
                  </w:tcBorders>
                  <w:shd w:val="clear" w:color="auto" w:fill="auto"/>
                  <w:vAlign w:val="center"/>
                </w:tcPr>
                <w:p w14:paraId="0A9E40D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820" w:type="pct"/>
                  <w:tcBorders>
                    <w:tl2br w:val="nil"/>
                    <w:tr2bl w:val="nil"/>
                  </w:tcBorders>
                  <w:shd w:val="clear" w:color="auto" w:fill="auto"/>
                  <w:vAlign w:val="center"/>
                </w:tcPr>
                <w:p w14:paraId="71AB78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p w14:paraId="544737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900-04</w:t>
                  </w:r>
                  <w:r>
                    <w:rPr>
                      <w:rFonts w:hint="eastAsia" w:ascii="Times New Roman" w:hAnsi="Times New Roman" w:eastAsia="宋体"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461" w:type="pct"/>
                  <w:tcBorders>
                    <w:tl2br w:val="nil"/>
                    <w:tr2bl w:val="nil"/>
                  </w:tcBorders>
                  <w:shd w:val="clear" w:color="auto" w:fill="auto"/>
                  <w:noWrap/>
                  <w:vAlign w:val="center"/>
                </w:tcPr>
                <w:p w14:paraId="470A8F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T，I</w:t>
                  </w:r>
                </w:p>
              </w:tc>
              <w:tc>
                <w:tcPr>
                  <w:tcW w:w="594" w:type="pct"/>
                  <w:tcBorders>
                    <w:tl2br w:val="nil"/>
                    <w:tr2bl w:val="nil"/>
                  </w:tcBorders>
                  <w:shd w:val="clear" w:color="auto" w:fill="auto"/>
                  <w:vAlign w:val="center"/>
                </w:tcPr>
                <w:p w14:paraId="3FE73DFA">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0.05t/a</w:t>
                  </w:r>
                </w:p>
              </w:tc>
              <w:tc>
                <w:tcPr>
                  <w:tcW w:w="452" w:type="pct"/>
                  <w:vMerge w:val="continue"/>
                  <w:tcBorders>
                    <w:tl2br w:val="nil"/>
                    <w:tr2bl w:val="nil"/>
                  </w:tcBorders>
                  <w:shd w:val="clear" w:color="auto" w:fill="auto"/>
                  <w:vAlign w:val="center"/>
                </w:tcPr>
                <w:p w14:paraId="0057BDB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6ABF72C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49C1F6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08BC4B5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7E0843CC">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废试剂</w:t>
                  </w:r>
                </w:p>
              </w:tc>
              <w:tc>
                <w:tcPr>
                  <w:tcW w:w="451" w:type="pct"/>
                  <w:tcBorders>
                    <w:tl2br w:val="nil"/>
                    <w:tr2bl w:val="nil"/>
                  </w:tcBorders>
                  <w:shd w:val="clear" w:color="auto" w:fill="auto"/>
                  <w:vAlign w:val="center"/>
                </w:tcPr>
                <w:p w14:paraId="574EA2A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液态</w:t>
                  </w:r>
                </w:p>
              </w:tc>
              <w:tc>
                <w:tcPr>
                  <w:tcW w:w="820" w:type="pct"/>
                  <w:tcBorders>
                    <w:tl2br w:val="nil"/>
                    <w:tr2bl w:val="nil"/>
                  </w:tcBorders>
                  <w:shd w:val="clear" w:color="auto" w:fill="auto"/>
                  <w:vAlign w:val="center"/>
                </w:tcPr>
                <w:p w14:paraId="63D531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p w14:paraId="06835B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900-04</w:t>
                  </w:r>
                  <w:r>
                    <w:rPr>
                      <w:rFonts w:hint="eastAsia" w:ascii="Times New Roman" w:hAnsi="Times New Roman" w:eastAsia="宋体"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461" w:type="pct"/>
                  <w:tcBorders>
                    <w:tl2br w:val="nil"/>
                    <w:tr2bl w:val="nil"/>
                  </w:tcBorders>
                  <w:shd w:val="clear" w:color="auto" w:fill="auto"/>
                  <w:noWrap/>
                  <w:vAlign w:val="center"/>
                </w:tcPr>
                <w:p w14:paraId="63E82C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T，I</w:t>
                  </w:r>
                </w:p>
              </w:tc>
              <w:tc>
                <w:tcPr>
                  <w:tcW w:w="594" w:type="pct"/>
                  <w:tcBorders>
                    <w:tl2br w:val="nil"/>
                    <w:tr2bl w:val="nil"/>
                  </w:tcBorders>
                  <w:shd w:val="clear" w:color="auto" w:fill="auto"/>
                  <w:vAlign w:val="center"/>
                </w:tcPr>
                <w:p w14:paraId="41933584">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50L/a</w:t>
                  </w:r>
                </w:p>
              </w:tc>
              <w:tc>
                <w:tcPr>
                  <w:tcW w:w="452" w:type="pct"/>
                  <w:vMerge w:val="continue"/>
                  <w:tcBorders>
                    <w:tl2br w:val="nil"/>
                    <w:tr2bl w:val="nil"/>
                  </w:tcBorders>
                  <w:shd w:val="clear" w:color="auto" w:fill="auto"/>
                  <w:vAlign w:val="center"/>
                </w:tcPr>
                <w:p w14:paraId="383DD5E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1C66148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14:paraId="23C078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05" w:type="pct"/>
                  <w:vMerge w:val="continue"/>
                  <w:tcBorders>
                    <w:tl2br w:val="nil"/>
                    <w:tr2bl w:val="nil"/>
                  </w:tcBorders>
                  <w:shd w:val="clear" w:color="auto" w:fill="auto"/>
                  <w:vAlign w:val="center"/>
                </w:tcPr>
                <w:p w14:paraId="021230D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876" w:type="pct"/>
                  <w:tcBorders>
                    <w:tl2br w:val="nil"/>
                    <w:tr2bl w:val="nil"/>
                  </w:tcBorders>
                  <w:shd w:val="clear" w:color="auto" w:fill="auto"/>
                  <w:noWrap/>
                  <w:vAlign w:val="center"/>
                </w:tcPr>
                <w:p w14:paraId="622C9220">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451" w:type="pct"/>
                  <w:tcBorders>
                    <w:tl2br w:val="nil"/>
                    <w:tr2bl w:val="nil"/>
                  </w:tcBorders>
                  <w:shd w:val="clear" w:color="auto" w:fill="auto"/>
                  <w:vAlign w:val="center"/>
                </w:tcPr>
                <w:p w14:paraId="1138CAC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820" w:type="pct"/>
                  <w:tcBorders>
                    <w:tl2br w:val="nil"/>
                    <w:tr2bl w:val="nil"/>
                  </w:tcBorders>
                  <w:shd w:val="clear" w:color="auto" w:fill="auto"/>
                  <w:vAlign w:val="center"/>
                </w:tcPr>
                <w:p w14:paraId="73418C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p w14:paraId="10BB58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900-039-49</w:t>
                  </w:r>
                </w:p>
              </w:tc>
              <w:tc>
                <w:tcPr>
                  <w:tcW w:w="461" w:type="pct"/>
                  <w:tcBorders>
                    <w:tl2br w:val="nil"/>
                    <w:tr2bl w:val="nil"/>
                  </w:tcBorders>
                  <w:shd w:val="clear" w:color="auto" w:fill="auto"/>
                  <w:noWrap/>
                  <w:vAlign w:val="center"/>
                </w:tcPr>
                <w:p w14:paraId="4B02A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T</w:t>
                  </w:r>
                </w:p>
              </w:tc>
              <w:tc>
                <w:tcPr>
                  <w:tcW w:w="594" w:type="pct"/>
                  <w:tcBorders>
                    <w:tl2br w:val="nil"/>
                    <w:tr2bl w:val="nil"/>
                  </w:tcBorders>
                  <w:shd w:val="clear" w:color="auto" w:fill="auto"/>
                  <w:vAlign w:val="center"/>
                </w:tcPr>
                <w:p w14:paraId="2655FFAB">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0.012</w:t>
                  </w:r>
                  <w:r>
                    <w:rPr>
                      <w:rFonts w:hint="default" w:ascii="Times New Roman" w:hAnsi="Times New Roman" w:eastAsia="宋体" w:cs="Times New Roman"/>
                      <w:color w:val="auto"/>
                      <w:sz w:val="21"/>
                      <w:szCs w:val="21"/>
                      <w:highlight w:val="none"/>
                      <w:lang w:val="en-US" w:eastAsia="zh-CN"/>
                    </w:rPr>
                    <w:t>t/a</w:t>
                  </w:r>
                </w:p>
              </w:tc>
              <w:tc>
                <w:tcPr>
                  <w:tcW w:w="452" w:type="pct"/>
                  <w:vMerge w:val="continue"/>
                  <w:tcBorders>
                    <w:tl2br w:val="nil"/>
                    <w:tr2bl w:val="nil"/>
                  </w:tcBorders>
                  <w:shd w:val="clear" w:color="auto" w:fill="auto"/>
                  <w:vAlign w:val="center"/>
                </w:tcPr>
                <w:p w14:paraId="6B71371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738" w:type="pct"/>
                  <w:vMerge w:val="continue"/>
                  <w:tcBorders>
                    <w:tl2br w:val="nil"/>
                    <w:tr2bl w:val="nil"/>
                  </w:tcBorders>
                  <w:shd w:val="clear" w:color="auto" w:fill="auto"/>
                  <w:vAlign w:val="center"/>
                </w:tcPr>
                <w:p w14:paraId="18D3403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bl>
          <w:p w14:paraId="5BF291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注：毒性（Toxicity</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T）、腐蚀性（Corrosivity</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C）、易燃性（Ignitability</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I）、反应性（Reactivity</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R）和感染性（Infectivity</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In）。</w:t>
            </w:r>
          </w:p>
          <w:p w14:paraId="2A9DE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（二）</w:t>
            </w:r>
            <w:r>
              <w:rPr>
                <w:rFonts w:hint="default" w:ascii="Times New Roman" w:hAnsi="Times New Roman" w:eastAsia="宋体" w:cs="Times New Roman"/>
                <w:b w:val="0"/>
                <w:bCs/>
                <w:color w:val="auto"/>
                <w:sz w:val="24"/>
                <w:szCs w:val="24"/>
                <w:highlight w:val="none"/>
              </w:rPr>
              <w:t>固体废物处置措施及影响分析</w:t>
            </w:r>
          </w:p>
          <w:p w14:paraId="713489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生活</w:t>
            </w:r>
            <w:r>
              <w:rPr>
                <w:rFonts w:hint="eastAsia" w:cs="Times New Roman"/>
                <w:color w:val="auto"/>
                <w:sz w:val="24"/>
                <w:szCs w:val="24"/>
                <w:highlight w:val="none"/>
                <w:lang w:val="en-US" w:eastAsia="zh-CN"/>
              </w:rPr>
              <w:t>垃圾</w:t>
            </w:r>
          </w:p>
          <w:p w14:paraId="226C6D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生活垃圾分类收集于厂内设置的生活垃圾桶内，定期委托环卫部门清运。</w:t>
            </w:r>
          </w:p>
          <w:p w14:paraId="521888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一般</w:t>
            </w:r>
            <w:r>
              <w:rPr>
                <w:rFonts w:hint="eastAsia" w:cs="Times New Roman"/>
                <w:color w:val="auto"/>
                <w:sz w:val="24"/>
                <w:szCs w:val="24"/>
                <w:highlight w:val="none"/>
                <w:lang w:eastAsia="zh-CN"/>
              </w:rPr>
              <w:t>工业固废</w:t>
            </w:r>
          </w:p>
          <w:p w14:paraId="3EEA26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废原料包装桶收集后暂存于一般固废暂存区，定期由原料供应单位回收再利用；废边角料和废金属屑收集后暂存于一般固废暂存区，外售处置。</w:t>
            </w:r>
            <w:r>
              <w:rPr>
                <w:rFonts w:hint="eastAsia" w:cs="Times New Roman"/>
                <w:color w:val="auto"/>
                <w:sz w:val="24"/>
                <w:szCs w:val="24"/>
                <w:highlight w:val="none"/>
                <w:lang w:val="en-US" w:eastAsia="zh-CN"/>
              </w:rPr>
              <w:t>不合格品</w:t>
            </w:r>
            <w:r>
              <w:rPr>
                <w:rFonts w:hint="default" w:ascii="Times New Roman" w:hAnsi="Times New Roman" w:eastAsia="宋体" w:cs="Times New Roman"/>
                <w:color w:val="auto"/>
                <w:sz w:val="24"/>
                <w:szCs w:val="24"/>
                <w:highlight w:val="none"/>
                <w:lang w:eastAsia="zh-CN"/>
              </w:rPr>
              <w:t>收集后暂存于一般固废暂存区，外售处置。</w:t>
            </w:r>
          </w:p>
          <w:p w14:paraId="3B91B1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根据《中华人民共和国固体废物污染环境防治法》（2020年9月1日）、《一般工业固体废物贮存和填埋污染控制标准》（GB18599-2020）等相关法律法规的要求，对项目一般工业固废贮存提出如下要求：</w:t>
            </w:r>
          </w:p>
          <w:p w14:paraId="421333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A.贮存场所地面硬化，设顶棚、围墙，达到防雨淋、防扬散、防流失、防渗漏等要求，不得擅自倾倒、堆放、丢弃、遗撒固体废物</w:t>
            </w:r>
            <w:r>
              <w:rPr>
                <w:rFonts w:hint="eastAsia" w:cs="Times New Roman"/>
                <w:color w:val="auto"/>
                <w:sz w:val="24"/>
                <w:szCs w:val="24"/>
                <w:highlight w:val="none"/>
                <w:lang w:eastAsia="zh-CN"/>
              </w:rPr>
              <w:t>；</w:t>
            </w:r>
          </w:p>
          <w:p w14:paraId="09547D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B.贮存场所按照《环境保护图形标志—固体废物贮存（处置）场》（GB15562.2-1995）的规定，张贴标识牌，并定期检查，加强日常维护；</w:t>
            </w:r>
          </w:p>
          <w:p w14:paraId="1A0B14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C.贮存场所应制定运行计划，运行管理人员应定期参加企业的岗位培训。</w:t>
            </w:r>
          </w:p>
          <w:p w14:paraId="5F414D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D.贮存场运行企业应建立档案管理制度，并按照国家档案管理等法律法规进行整理与归档，永久保存。贮存场悬挂一般固体废物处置台账，台账应实时更新，定期收集，归档保存，规范管理；</w:t>
            </w:r>
          </w:p>
          <w:p w14:paraId="7DCD7A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E.贮存场所应设置不同的分区进行贮存，对不同的一般固体废物进行分类收集、暂存；</w:t>
            </w:r>
          </w:p>
          <w:p w14:paraId="69D7D1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F.落实一般工业固体废物处置方案，尽可能及时外运，避免长期堆存；</w:t>
            </w:r>
          </w:p>
          <w:p w14:paraId="38E1AE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G.一般工业固体废物贮存、处置场所，危险废物和生活垃圾不得进入一般工业固体废物贮存场。</w:t>
            </w:r>
          </w:p>
          <w:p w14:paraId="03341F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H.企业应当加强对一般固体废物污染环境工作的重视，对员工进行环保知识相关培训，提高员工环保意识，从源头削减一般固体废物的产生量；</w:t>
            </w:r>
          </w:p>
          <w:p w14:paraId="1FFCF6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I.建立健全环境保护管理制度，设专职人员对固体废物实施管理。</w:t>
            </w:r>
          </w:p>
          <w:p w14:paraId="48D313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危险废物管理要求</w:t>
            </w:r>
          </w:p>
          <w:p w14:paraId="21A99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危险废物的收集、贮存、转运必须严格按照危险废物相关</w:t>
            </w:r>
            <w:r>
              <w:rPr>
                <w:rFonts w:hint="default" w:ascii="Times New Roman" w:hAnsi="Times New Roman" w:eastAsia="宋体" w:cs="Times New Roman"/>
                <w:color w:val="auto"/>
                <w:sz w:val="24"/>
                <w:szCs w:val="24"/>
                <w:highlight w:val="none"/>
                <w:lang w:eastAsia="zh-CN"/>
              </w:rPr>
              <w:t>法律法规</w:t>
            </w:r>
            <w:r>
              <w:rPr>
                <w:rFonts w:hint="default" w:ascii="Times New Roman" w:hAnsi="Times New Roman" w:eastAsia="宋体" w:cs="Times New Roman"/>
                <w:color w:val="auto"/>
                <w:sz w:val="24"/>
                <w:szCs w:val="24"/>
                <w:highlight w:val="none"/>
              </w:rPr>
              <w:t>、规范、政策进行全过程控制。</w:t>
            </w:r>
          </w:p>
          <w:p w14:paraId="5B9D5C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①危废的收集</w:t>
            </w:r>
          </w:p>
          <w:p w14:paraId="7C0065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根据《危险废物收集贮存运输技术规范》（HJ2025-2012）要求，项目产生的各类危废应分类收集，采用专用容器收集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盛装危险废物的容器在醒目位置必须粘贴参照执行《危险废物识别标志设置技术规范》（HJ 1276—2022）所示的标签，在标签上详细标明危险废物名称、废物类别、废物代码、废物形态、危险特性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成分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废物重量以及产生/收集单位名称、联系人和联系方式</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w:t>
            </w:r>
          </w:p>
          <w:p w14:paraId="6BAC3019">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4"/>
                <w:szCs w:val="22"/>
                <w:highlight w:val="none"/>
                <w:lang w:eastAsia="zh-CN"/>
              </w:rPr>
              <w:t>危废贮存库</w:t>
            </w:r>
            <w:r>
              <w:rPr>
                <w:rFonts w:hint="default" w:ascii="Times New Roman" w:hAnsi="Times New Roman" w:eastAsia="宋体" w:cs="Times New Roman"/>
                <w:color w:val="auto"/>
                <w:sz w:val="24"/>
                <w:szCs w:val="22"/>
                <w:highlight w:val="none"/>
              </w:rPr>
              <w:t>危险废物标识要求如下图所示：</w:t>
            </w:r>
          </w:p>
          <w:p w14:paraId="6BFB03B2">
            <w:pPr>
              <w:pStyle w:val="50"/>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b/>
                <w:bCs/>
                <w:color w:val="auto"/>
                <w:sz w:val="21"/>
                <w:szCs w:val="21"/>
                <w:highlight w:val="none"/>
              </w:rPr>
              <w:t>图4-1  危险废物标识要求</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9"/>
              <w:gridCol w:w="3972"/>
            </w:tblGrid>
            <w:tr w14:paraId="3487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5000" w:type="pct"/>
                  <w:gridSpan w:val="2"/>
                  <w:noWrap w:val="0"/>
                  <w:vAlign w:val="center"/>
                </w:tcPr>
                <w:p w14:paraId="45BBDD4F">
                  <w:pPr>
                    <w:pStyle w:val="27"/>
                    <w:keepNext w:val="0"/>
                    <w:keepLines w:val="0"/>
                    <w:suppressLineNumbers w:val="0"/>
                    <w:tabs>
                      <w:tab w:val="left" w:pos="8607"/>
                    </w:tabs>
                    <w:spacing w:before="0" w:beforeAutospacing="0" w:after="0" w:afterAutospacing="0"/>
                    <w:ind w:right="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b/>
                      <w:bCs/>
                      <w:color w:val="auto"/>
                      <w:sz w:val="28"/>
                      <w:szCs w:val="28"/>
                      <w:highlight w:val="none"/>
                      <w:vertAlign w:val="baseline"/>
                      <w:lang w:val="en-US" w:eastAsia="zh-CN"/>
                    </w:rPr>
                    <w:t>危险废物标识牌样式</w:t>
                  </w:r>
                </w:p>
              </w:tc>
            </w:tr>
            <w:tr w14:paraId="1501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3" w:hRule="atLeast"/>
                <w:jc w:val="center"/>
              </w:trPr>
              <w:tc>
                <w:tcPr>
                  <w:tcW w:w="2499" w:type="pct"/>
                  <w:noWrap w:val="0"/>
                  <w:vAlign w:val="center"/>
                </w:tcPr>
                <w:p w14:paraId="58B9554D">
                  <w:pPr>
                    <w:pStyle w:val="27"/>
                    <w:keepNext w:val="0"/>
                    <w:keepLines w:val="0"/>
                    <w:suppressLineNumbers w:val="0"/>
                    <w:tabs>
                      <w:tab w:val="left" w:pos="8607"/>
                    </w:tabs>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drawing>
                      <wp:inline distT="0" distB="0" distL="114300" distR="114300">
                        <wp:extent cx="2396490" cy="1210945"/>
                        <wp:effectExtent l="0" t="0" r="3810" b="8255"/>
                        <wp:docPr id="3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1"/>
                                <pic:cNvPicPr>
                                  <a:picLocks noChangeAspect="1"/>
                                </pic:cNvPicPr>
                              </pic:nvPicPr>
                              <pic:blipFill>
                                <a:blip r:embed="rId53"/>
                                <a:stretch>
                                  <a:fillRect/>
                                </a:stretch>
                              </pic:blipFill>
                              <pic:spPr>
                                <a:xfrm>
                                  <a:off x="0" y="0"/>
                                  <a:ext cx="2396490" cy="1210945"/>
                                </a:xfrm>
                                <a:prstGeom prst="rect">
                                  <a:avLst/>
                                </a:prstGeom>
                                <a:noFill/>
                                <a:ln>
                                  <a:noFill/>
                                </a:ln>
                              </pic:spPr>
                            </pic:pic>
                          </a:graphicData>
                        </a:graphic>
                      </wp:inline>
                    </w:drawing>
                  </w:r>
                </w:p>
              </w:tc>
              <w:tc>
                <w:tcPr>
                  <w:tcW w:w="2500" w:type="pct"/>
                  <w:noWrap w:val="0"/>
                  <w:vAlign w:val="center"/>
                </w:tcPr>
                <w:p w14:paraId="0CBB637B">
                  <w:pPr>
                    <w:keepNext w:val="0"/>
                    <w:keepLines w:val="0"/>
                    <w:suppressLineNumbers w:val="0"/>
                    <w:spacing w:before="0" w:beforeAutospacing="0" w:after="0" w:afterAutospacing="0" w:line="240" w:lineRule="auto"/>
                    <w:ind w:left="0" w:right="0"/>
                    <w:jc w:val="both"/>
                    <w:rPr>
                      <w:rStyle w:val="31"/>
                      <w:rFonts w:hint="default" w:ascii="Times New Roman" w:hAnsi="Times New Roman" w:eastAsia="宋体" w:cs="Times New Roman"/>
                      <w:b w:val="0"/>
                      <w:bCs w:val="0"/>
                      <w:i w:val="0"/>
                      <w:iCs w:val="0"/>
                      <w:caps w:val="0"/>
                      <w:color w:val="auto"/>
                      <w:spacing w:val="8"/>
                      <w:sz w:val="21"/>
                      <w:szCs w:val="21"/>
                      <w:highlight w:val="none"/>
                    </w:rPr>
                  </w:pPr>
                  <w:r>
                    <w:rPr>
                      <w:rStyle w:val="31"/>
                      <w:rFonts w:hint="default" w:ascii="Times New Roman" w:hAnsi="Times New Roman" w:eastAsia="宋体" w:cs="Times New Roman"/>
                      <w:b w:val="0"/>
                      <w:bCs w:val="0"/>
                      <w:i w:val="0"/>
                      <w:iCs w:val="0"/>
                      <w:caps w:val="0"/>
                      <w:color w:val="auto"/>
                      <w:spacing w:val="8"/>
                      <w:sz w:val="21"/>
                      <w:szCs w:val="21"/>
                      <w:highlight w:val="none"/>
                    </w:rPr>
                    <w:t>危废贮存、利用、处置设施的样式</w:t>
                  </w:r>
                </w:p>
                <w:p w14:paraId="65259A9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val="0"/>
                      <w:bCs w:val="0"/>
                      <w:color w:val="auto"/>
                      <w:sz w:val="21"/>
                      <w:szCs w:val="21"/>
                      <w:highlight w:val="none"/>
                    </w:rPr>
                    <w:t>危险废物贮存、利用、处置设施标志可采用横版或竖版的形式</w:t>
                  </w:r>
                </w:p>
              </w:tc>
            </w:tr>
            <w:tr w14:paraId="1CAC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jc w:val="center"/>
              </w:trPr>
              <w:tc>
                <w:tcPr>
                  <w:tcW w:w="2499" w:type="pct"/>
                  <w:noWrap w:val="0"/>
                  <w:vAlign w:val="center"/>
                </w:tcPr>
                <w:p w14:paraId="4370E136">
                  <w:pPr>
                    <w:pStyle w:val="27"/>
                    <w:keepNext w:val="0"/>
                    <w:keepLines w:val="0"/>
                    <w:suppressLineNumbers w:val="0"/>
                    <w:tabs>
                      <w:tab w:val="left" w:pos="8607"/>
                    </w:tabs>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drawing>
                      <wp:inline distT="0" distB="0" distL="114300" distR="114300">
                        <wp:extent cx="2362200" cy="1193800"/>
                        <wp:effectExtent l="0" t="0" r="0" b="0"/>
                        <wp:docPr id="3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2"/>
                                <pic:cNvPicPr>
                                  <a:picLocks noChangeAspect="1"/>
                                </pic:cNvPicPr>
                              </pic:nvPicPr>
                              <pic:blipFill>
                                <a:blip r:embed="rId54"/>
                                <a:stretch>
                                  <a:fillRect/>
                                </a:stretch>
                              </pic:blipFill>
                              <pic:spPr>
                                <a:xfrm>
                                  <a:off x="0" y="0"/>
                                  <a:ext cx="2362200" cy="1193800"/>
                                </a:xfrm>
                                <a:prstGeom prst="rect">
                                  <a:avLst/>
                                </a:prstGeom>
                                <a:noFill/>
                                <a:ln>
                                  <a:noFill/>
                                </a:ln>
                              </pic:spPr>
                            </pic:pic>
                          </a:graphicData>
                        </a:graphic>
                      </wp:inline>
                    </w:drawing>
                  </w:r>
                </w:p>
              </w:tc>
              <w:tc>
                <w:tcPr>
                  <w:tcW w:w="2500" w:type="pct"/>
                  <w:noWrap w:val="0"/>
                  <w:vAlign w:val="center"/>
                </w:tcPr>
                <w:p w14:paraId="58D9986B">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highlight w:val="none"/>
                    </w:rPr>
                  </w:pPr>
                  <w:r>
                    <w:rPr>
                      <w:rStyle w:val="31"/>
                      <w:rFonts w:hint="default" w:ascii="Times New Roman" w:hAnsi="Times New Roman" w:eastAsia="宋体" w:cs="Times New Roman"/>
                      <w:b w:val="0"/>
                      <w:bCs w:val="0"/>
                      <w:i w:val="0"/>
                      <w:iCs w:val="0"/>
                      <w:caps w:val="0"/>
                      <w:color w:val="auto"/>
                      <w:spacing w:val="8"/>
                      <w:sz w:val="21"/>
                      <w:szCs w:val="21"/>
                      <w:highlight w:val="none"/>
                    </w:rPr>
                    <w:t>危废贮存分区标志的设置要求</w:t>
                  </w:r>
                </w:p>
                <w:p w14:paraId="2BC47B44">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危险废物贮存分区标志可采用附着式（如钉挂、粘贴等）、悬挂式和柱式（固定于标志杆或支架等物体上）等固定形式。企业应当在危险废物贮存设施内的每一个贮存分区处，设置危险废物贮存分区标志</w:t>
                  </w:r>
                </w:p>
              </w:tc>
            </w:tr>
            <w:tr w14:paraId="71FD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3" w:hRule="atLeast"/>
                <w:jc w:val="center"/>
              </w:trPr>
              <w:tc>
                <w:tcPr>
                  <w:tcW w:w="2499" w:type="pct"/>
                  <w:noWrap w:val="0"/>
                  <w:vAlign w:val="center"/>
                </w:tcPr>
                <w:p w14:paraId="648270DD">
                  <w:pPr>
                    <w:pStyle w:val="27"/>
                    <w:keepNext w:val="0"/>
                    <w:keepLines w:val="0"/>
                    <w:suppressLineNumbers w:val="0"/>
                    <w:tabs>
                      <w:tab w:val="left" w:pos="8607"/>
                    </w:tabs>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drawing>
                      <wp:inline distT="0" distB="0" distL="114300" distR="114300">
                        <wp:extent cx="2362200" cy="1597025"/>
                        <wp:effectExtent l="0" t="0" r="0" b="3175"/>
                        <wp:docPr id="3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3"/>
                                <pic:cNvPicPr>
                                  <a:picLocks noChangeAspect="1"/>
                                </pic:cNvPicPr>
                              </pic:nvPicPr>
                              <pic:blipFill>
                                <a:blip r:embed="rId55"/>
                                <a:stretch>
                                  <a:fillRect/>
                                </a:stretch>
                              </pic:blipFill>
                              <pic:spPr>
                                <a:xfrm>
                                  <a:off x="0" y="0"/>
                                  <a:ext cx="2362200" cy="1597025"/>
                                </a:xfrm>
                                <a:prstGeom prst="rect">
                                  <a:avLst/>
                                </a:prstGeom>
                                <a:noFill/>
                                <a:ln>
                                  <a:noFill/>
                                </a:ln>
                              </pic:spPr>
                            </pic:pic>
                          </a:graphicData>
                        </a:graphic>
                      </wp:inline>
                    </w:drawing>
                  </w:r>
                </w:p>
              </w:tc>
              <w:tc>
                <w:tcPr>
                  <w:tcW w:w="2500" w:type="pct"/>
                  <w:noWrap w:val="0"/>
                  <w:vAlign w:val="center"/>
                </w:tcPr>
                <w:p w14:paraId="2D1578D8">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highlight w:val="none"/>
                    </w:rPr>
                  </w:pPr>
                  <w:r>
                    <w:rPr>
                      <w:rStyle w:val="31"/>
                      <w:rFonts w:hint="default" w:ascii="Times New Roman" w:hAnsi="Times New Roman" w:eastAsia="宋体" w:cs="Times New Roman"/>
                      <w:b w:val="0"/>
                      <w:bCs w:val="0"/>
                      <w:i w:val="0"/>
                      <w:iCs w:val="0"/>
                      <w:caps w:val="0"/>
                      <w:color w:val="auto"/>
                      <w:spacing w:val="8"/>
                      <w:sz w:val="21"/>
                      <w:szCs w:val="21"/>
                      <w:highlight w:val="none"/>
                    </w:rPr>
                    <w:t>危险废物标签的设置要求</w:t>
                  </w:r>
                </w:p>
                <w:p w14:paraId="4CC91F85">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危险废物标签的设置位置，应当明显可见并且易读，不应被容器、包装物自身的任何部分或其他标签遮挡。</w:t>
                  </w:r>
                </w:p>
                <w:p w14:paraId="0952C83D">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危险废物标签在各种包装上的粘贴位置分别为：</w:t>
                  </w:r>
                </w:p>
                <w:p w14:paraId="73283272">
                  <w:pPr>
                    <w:keepNext w:val="0"/>
                    <w:keepLines w:val="0"/>
                    <w:numPr>
                      <w:ilvl w:val="0"/>
                      <w:numId w:val="2"/>
                    </w:numPr>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箱类包装：位于包装端面或侧面</w:t>
                  </w:r>
                </w:p>
                <w:p w14:paraId="754E7E43">
                  <w:pPr>
                    <w:keepNext w:val="0"/>
                    <w:keepLines w:val="0"/>
                    <w:numPr>
                      <w:ilvl w:val="0"/>
                      <w:numId w:val="2"/>
                    </w:numPr>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袋类包装：位于包装明显处</w:t>
                  </w:r>
                </w:p>
                <w:p w14:paraId="75559EAC">
                  <w:pPr>
                    <w:keepNext w:val="0"/>
                    <w:keepLines w:val="0"/>
                    <w:numPr>
                      <w:ilvl w:val="0"/>
                      <w:numId w:val="2"/>
                    </w:numPr>
                    <w:suppressLineNumbers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桶类包装：位于桶身或桶盖</w:t>
                  </w:r>
                </w:p>
                <w:p w14:paraId="69B9BAC8">
                  <w:pPr>
                    <w:keepNext w:val="0"/>
                    <w:keepLines w:val="0"/>
                    <w:numPr>
                      <w:ilvl w:val="0"/>
                      <w:numId w:val="0"/>
                    </w:numPr>
                    <w:suppressLineNumbers w:val="0"/>
                    <w:spacing w:before="0" w:beforeAutospacing="0" w:after="0" w:afterAutospacing="0" w:line="240" w:lineRule="auto"/>
                    <w:ind w:left="0" w:leftChars="0" w:right="0"/>
                    <w:jc w:val="both"/>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（4）其他包装：位于明显处</w:t>
                  </w:r>
                </w:p>
              </w:tc>
            </w:tr>
          </w:tbl>
          <w:p w14:paraId="7674FB3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rPr>
              <w:t>危险废物的收集和厂内转运过程中，应采取防泄漏、防飞扬、防雨等防止污染环境的措施；</w:t>
            </w:r>
          </w:p>
          <w:p w14:paraId="7E6C5D5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rPr>
              <w:t>危险废物内部转运应采用专用工具，同时按照《危险废物收集贮存 运输技术规范》（HJ2025-2012）填写</w:t>
            </w:r>
            <w:r>
              <w:rPr>
                <w:rFonts w:hint="default" w:ascii="Times New Roman" w:hAnsi="Times New Roman" w:eastAsia="宋体" w:cs="Times New Roman"/>
                <w:color w:val="auto"/>
                <w:sz w:val="24"/>
                <w:szCs w:val="24"/>
                <w:highlight w:val="none"/>
                <w:lang w:val="en-US" w:eastAsia="zh-CN"/>
              </w:rPr>
              <w:t>相关记录表格</w:t>
            </w:r>
            <w:r>
              <w:rPr>
                <w:rFonts w:hint="default" w:ascii="Times New Roman" w:hAnsi="Times New Roman" w:eastAsia="宋体" w:cs="Times New Roman"/>
                <w:color w:val="auto"/>
                <w:sz w:val="24"/>
                <w:szCs w:val="24"/>
                <w:highlight w:val="none"/>
              </w:rPr>
              <w:t>；</w:t>
            </w:r>
          </w:p>
          <w:p w14:paraId="489BB38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危险废物内部转运结束后，应对转运路线进行检查和清理，确保无危险废物遗失在转运路线上。</w:t>
            </w:r>
          </w:p>
          <w:p w14:paraId="1BFD189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②危险废物的贮存</w:t>
            </w:r>
          </w:p>
          <w:p w14:paraId="1BBEC9B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危险废物必须在</w:t>
            </w:r>
            <w:r>
              <w:rPr>
                <w:rFonts w:hint="default" w:ascii="Times New Roman" w:hAnsi="Times New Roman" w:eastAsia="宋体" w:cs="Times New Roman"/>
                <w:color w:val="auto"/>
                <w:sz w:val="24"/>
                <w:szCs w:val="24"/>
                <w:highlight w:val="none"/>
                <w:lang w:eastAsia="zh-CN"/>
              </w:rPr>
              <w:t>危废贮存库</w:t>
            </w:r>
            <w:r>
              <w:rPr>
                <w:rFonts w:hint="default" w:ascii="Times New Roman" w:hAnsi="Times New Roman" w:eastAsia="宋体" w:cs="Times New Roman"/>
                <w:color w:val="auto"/>
                <w:sz w:val="24"/>
                <w:szCs w:val="24"/>
                <w:highlight w:val="none"/>
              </w:rPr>
              <w:t>内分类贮存。为了满足本项目危废的暂存，本项目设计</w:t>
            </w:r>
            <w:r>
              <w:rPr>
                <w:rFonts w:hint="default" w:ascii="Times New Roman" w:hAnsi="Times New Roman" w:eastAsia="宋体" w:cs="Times New Roman"/>
                <w:color w:val="auto"/>
                <w:sz w:val="24"/>
                <w:szCs w:val="24"/>
                <w:highlight w:val="none"/>
                <w:lang w:eastAsia="zh-CN"/>
              </w:rPr>
              <w:t>危废贮存库</w:t>
            </w:r>
            <w:r>
              <w:rPr>
                <w:rFonts w:hint="default" w:ascii="Times New Roman" w:hAnsi="Times New Roman" w:eastAsia="宋体" w:cs="Times New Roman"/>
                <w:color w:val="auto"/>
                <w:kern w:val="0"/>
                <w:sz w:val="24"/>
                <w:szCs w:val="24"/>
                <w:highlight w:val="none"/>
                <w:lang w:val="en-US" w:eastAsia="zh-CN"/>
              </w:rPr>
              <w:t>位于</w:t>
            </w:r>
            <w:r>
              <w:rPr>
                <w:rFonts w:hint="default" w:ascii="Times New Roman" w:hAnsi="Times New Roman" w:eastAsia="宋体" w:cs="Times New Roman"/>
                <w:color w:val="auto"/>
                <w:sz w:val="24"/>
                <w:szCs w:val="24"/>
                <w:highlight w:val="none"/>
                <w:lang w:val="en-US" w:eastAsia="zh-CN"/>
              </w:rPr>
              <w:t>厂区</w:t>
            </w:r>
            <w:r>
              <w:rPr>
                <w:rFonts w:hint="eastAsia" w:cs="Times New Roman"/>
                <w:color w:val="auto"/>
                <w:sz w:val="24"/>
                <w:szCs w:val="24"/>
                <w:highlight w:val="none"/>
                <w:lang w:val="en-US" w:eastAsia="zh-CN"/>
              </w:rPr>
              <w:t>东南侧</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建筑</w:t>
            </w:r>
            <w:r>
              <w:rPr>
                <w:rFonts w:hint="default" w:ascii="Times New Roman" w:hAnsi="Times New Roman" w:eastAsia="宋体" w:cs="Times New Roman"/>
                <w:color w:val="auto"/>
                <w:sz w:val="24"/>
                <w:szCs w:val="24"/>
                <w:highlight w:val="none"/>
                <w:lang w:eastAsia="zh-CN"/>
              </w:rPr>
              <w:t>面积</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14:paraId="414E226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环评要求：</w:t>
            </w:r>
            <w:r>
              <w:rPr>
                <w:rFonts w:hint="default" w:ascii="Times New Roman" w:hAnsi="Times New Roman" w:eastAsia="宋体" w:cs="Times New Roman"/>
                <w:color w:val="auto"/>
                <w:sz w:val="24"/>
                <w:szCs w:val="24"/>
                <w:highlight w:val="none"/>
                <w:lang w:eastAsia="zh-CN"/>
              </w:rPr>
              <w:t>危废贮存库</w:t>
            </w:r>
            <w:r>
              <w:rPr>
                <w:rFonts w:hint="default" w:ascii="Times New Roman" w:hAnsi="Times New Roman" w:eastAsia="宋体" w:cs="Times New Roman"/>
                <w:color w:val="auto"/>
                <w:sz w:val="24"/>
                <w:szCs w:val="24"/>
                <w:highlight w:val="none"/>
              </w:rPr>
              <w:t>建设应严格参照《危险废物贮存污染控制标准》（GB18597-2023）要求执行，临时存放场的要求如下：</w:t>
            </w:r>
          </w:p>
          <w:p w14:paraId="256E117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贮存设施应根据危险废物的形态、物理化学性质、包装形式和污染物迁移途径，采取必要的防风、防晒、防雨、防漏、防渗、防腐以及其他环境污染防治措施，不应露天堆放危险废物。</w:t>
            </w:r>
          </w:p>
          <w:p w14:paraId="6482511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rPr>
              <w:t>贮存设施应根据危险废物的类别、数量、形态、物理化学性质和污染防治等要求设置必要的贮存分区，避免不相容的危险废物接触、混合。</w:t>
            </w:r>
          </w:p>
          <w:p w14:paraId="52B3737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rPr>
              <w:t>贮存设施或贮存分区内地面、墙面裙脚、堵截泄漏的围堰、接触危险废物的隔板和墙体等应采用坚固的材料建造，表面无裂缝。</w:t>
            </w:r>
          </w:p>
          <w:p w14:paraId="1FBE53D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rPr>
              <w:t>cm/s），或至少2 mm 厚高密度聚乙烯膜等人工防渗材料（渗透系数不大于</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w:t>
            </w:r>
            <w:r>
              <w:rPr>
                <w:rFonts w:hint="eastAsia"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rPr>
              <w:t>cm/s），或其他防渗性能等效的材料。</w:t>
            </w:r>
          </w:p>
          <w:p w14:paraId="4DA37D7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E.</w:t>
            </w:r>
            <w:r>
              <w:rPr>
                <w:rFonts w:hint="default" w:ascii="Times New Roman" w:hAnsi="Times New Roman" w:eastAsia="宋体" w:cs="Times New Roman"/>
                <w:color w:val="auto"/>
                <w:sz w:val="24"/>
                <w:szCs w:val="24"/>
                <w:highlight w:val="none"/>
              </w:rPr>
              <w:t>贮存设施应采取技术和管理措施防止无关人员进入。</w:t>
            </w:r>
          </w:p>
          <w:p w14:paraId="723F30B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F.</w:t>
            </w:r>
            <w:r>
              <w:rPr>
                <w:rFonts w:hint="default" w:ascii="Times New Roman" w:hAnsi="Times New Roman" w:eastAsia="宋体" w:cs="Times New Roman"/>
                <w:color w:val="auto"/>
                <w:sz w:val="24"/>
                <w:szCs w:val="24"/>
                <w:highlight w:val="none"/>
              </w:rPr>
              <w:t>贮存库内不同贮存分区之间应采取隔离措施。隔离措施可根据危险废物特性采用过道、隔板或隔墙等方式。</w:t>
            </w:r>
          </w:p>
          <w:p w14:paraId="36A6A40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③危险废物的处置</w:t>
            </w:r>
          </w:p>
          <w:p w14:paraId="72291A2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对于危废，企业应履行申报的登记制度、建立</w:t>
            </w:r>
            <w:r>
              <w:rPr>
                <w:rFonts w:hint="default" w:ascii="Times New Roman" w:hAnsi="Times New Roman" w:eastAsia="宋体" w:cs="Times New Roman"/>
                <w:color w:val="auto"/>
                <w:sz w:val="24"/>
                <w:szCs w:val="24"/>
                <w:highlight w:val="none"/>
                <w:lang w:eastAsia="zh-CN"/>
              </w:rPr>
              <w:t>危险废物台账</w:t>
            </w:r>
            <w:r>
              <w:rPr>
                <w:rFonts w:hint="default" w:ascii="Times New Roman" w:hAnsi="Times New Roman" w:eastAsia="宋体" w:cs="Times New Roman"/>
                <w:color w:val="auto"/>
                <w:sz w:val="24"/>
                <w:szCs w:val="24"/>
                <w:highlight w:val="none"/>
              </w:rPr>
              <w:t>制度，认真、仔细记录危险废物产生、贮存、转移处置或利用情况，对每批出入暂存场所的废物要进行清点计量。</w:t>
            </w:r>
            <w:r>
              <w:rPr>
                <w:rFonts w:hint="default" w:ascii="Times New Roman" w:hAnsi="Times New Roman" w:eastAsia="宋体" w:cs="Times New Roman"/>
                <w:color w:val="auto"/>
                <w:sz w:val="24"/>
                <w:szCs w:val="24"/>
                <w:highlight w:val="none"/>
                <w:lang w:eastAsia="zh-CN"/>
              </w:rPr>
              <w:t>台账应</w:t>
            </w:r>
            <w:r>
              <w:rPr>
                <w:rFonts w:hint="default" w:ascii="Times New Roman" w:hAnsi="Times New Roman" w:eastAsia="宋体" w:cs="Times New Roman"/>
                <w:color w:val="auto"/>
                <w:sz w:val="24"/>
                <w:szCs w:val="24"/>
                <w:highlight w:val="none"/>
              </w:rPr>
              <w:t>留存备查，</w:t>
            </w:r>
            <w:r>
              <w:rPr>
                <w:rFonts w:hint="default" w:ascii="Times New Roman" w:hAnsi="Times New Roman" w:eastAsia="宋体" w:cs="Times New Roman"/>
                <w:color w:val="auto"/>
                <w:sz w:val="24"/>
                <w:szCs w:val="24"/>
                <w:highlight w:val="none"/>
                <w:lang w:eastAsia="zh-CN"/>
              </w:rPr>
              <w:t>台账应</w:t>
            </w:r>
            <w:r>
              <w:rPr>
                <w:rFonts w:hint="default" w:ascii="Times New Roman" w:hAnsi="Times New Roman" w:eastAsia="宋体" w:cs="Times New Roman"/>
                <w:color w:val="auto"/>
                <w:sz w:val="24"/>
                <w:szCs w:val="24"/>
                <w:highlight w:val="none"/>
              </w:rPr>
              <w:t>至少保留</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年。</w:t>
            </w:r>
          </w:p>
          <w:p w14:paraId="2E1A17C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rPr>
              <w:t>危险废物委托有资质和处置能力的单位进行处置。</w:t>
            </w:r>
          </w:p>
          <w:p w14:paraId="5BD4EA9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rPr>
              <w:t>要严格执行危险废物转移报批制度，按照国家有关规定报批危险废物转移计划。</w:t>
            </w:r>
          </w:p>
          <w:p w14:paraId="298766E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要严格执行危险废物转移联单制度。每转移一车（次）同类危险废物均要认真填写转移五联单，并必须按规定委托有盖有道路危险货物运输专用章的《道路运输经营许可证》和《道路运输营运证》的单位运输。</w:t>
            </w:r>
          </w:p>
          <w:p w14:paraId="4C73183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E.</w:t>
            </w:r>
            <w:r>
              <w:rPr>
                <w:rFonts w:hint="default" w:ascii="Times New Roman" w:hAnsi="Times New Roman" w:eastAsia="宋体" w:cs="Times New Roman"/>
                <w:color w:val="auto"/>
                <w:sz w:val="24"/>
                <w:szCs w:val="24"/>
                <w:highlight w:val="none"/>
              </w:rPr>
              <w:t>企业要加强对危险废物的日常管理，配备专职管理人员，明确岗位职责，健全危险废物管理制度和</w:t>
            </w:r>
            <w:r>
              <w:rPr>
                <w:rFonts w:hint="default" w:ascii="Times New Roman" w:hAnsi="Times New Roman" w:eastAsia="宋体" w:cs="Times New Roman"/>
                <w:color w:val="auto"/>
                <w:sz w:val="24"/>
                <w:szCs w:val="24"/>
                <w:highlight w:val="none"/>
                <w:lang w:eastAsia="zh-CN"/>
              </w:rPr>
              <w:t>管理台账</w:t>
            </w:r>
            <w:r>
              <w:rPr>
                <w:rFonts w:hint="default" w:ascii="Times New Roman" w:hAnsi="Times New Roman" w:eastAsia="宋体" w:cs="Times New Roman"/>
                <w:color w:val="auto"/>
                <w:sz w:val="24"/>
                <w:szCs w:val="24"/>
                <w:highlight w:val="none"/>
              </w:rPr>
              <w:t>；定期对危险废物收集、贮存、利用、转移、处置等环节的安全防范措施进行检查，防止散、洒、滴、漏等现象发生。</w:t>
            </w:r>
          </w:p>
          <w:p w14:paraId="13A2ED4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综上所述，项目运营期各类固体废物均得到合理</w:t>
            </w:r>
            <w:r>
              <w:rPr>
                <w:rFonts w:hint="default" w:ascii="Times New Roman" w:hAnsi="Times New Roman" w:eastAsia="宋体" w:cs="Times New Roman"/>
                <w:color w:val="auto"/>
                <w:sz w:val="24"/>
                <w:szCs w:val="24"/>
                <w:highlight w:val="none"/>
                <w:lang w:eastAsia="zh-CN"/>
              </w:rPr>
              <w:t>地</w:t>
            </w:r>
            <w:r>
              <w:rPr>
                <w:rFonts w:hint="default" w:ascii="Times New Roman" w:hAnsi="Times New Roman" w:eastAsia="宋体" w:cs="Times New Roman"/>
                <w:color w:val="auto"/>
                <w:sz w:val="24"/>
                <w:szCs w:val="24"/>
                <w:highlight w:val="none"/>
              </w:rPr>
              <w:t>处置，不会对环境造成影响。</w:t>
            </w:r>
          </w:p>
          <w:p w14:paraId="64CCDFA8">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jc w:val="both"/>
              <w:textAlignment w:val="auto"/>
              <w:outlineLvl w:val="9"/>
              <w:rPr>
                <w:rFonts w:hint="default" w:ascii="Times New Roman" w:hAnsi="Times New Roman" w:eastAsia="宋体" w:cs="Times New Roman"/>
                <w:b/>
                <w:snapToGrid w:val="0"/>
                <w:color w:val="auto"/>
                <w:sz w:val="24"/>
                <w:szCs w:val="24"/>
                <w:highlight w:val="none"/>
                <w:lang w:bidi="ar"/>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地下水、土壤</w:t>
            </w:r>
          </w:p>
          <w:p w14:paraId="7E7CCD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（1）影响途径 </w:t>
            </w:r>
          </w:p>
          <w:p w14:paraId="3BA7A3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项目大气排放的污染因子不涉及对地下水、土壤污染的因子。项目地表平坦，物料不涉及污染因子，不产生地面漫流。</w:t>
            </w:r>
          </w:p>
          <w:p w14:paraId="021C76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项目危废贮存库的盛装容器为地上结构且设置防漏设施，如果是装置区等可视场所发生硬化面破损，建设单位可以及时采取措施，因此，对地下水、土壤环境影响较小。</w:t>
            </w:r>
          </w:p>
          <w:p w14:paraId="5D0A4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（2）防治措施 </w:t>
            </w:r>
          </w:p>
          <w:p w14:paraId="7D691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源头控制措施：在生产过程中，做好设备的维护、检修，杜绝跑、冒、滴、漏现象；产生的危险废物及时交有资质单位处置。</w:t>
            </w:r>
          </w:p>
          <w:p w14:paraId="3E63B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过程防控措施：废水处理设施区域采取严格的硬化及防渗处理。 </w:t>
            </w:r>
          </w:p>
          <w:p w14:paraId="30713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管理措施：厂区建立完善的危废管理制度，有专人负责进行管理。 </w:t>
            </w:r>
          </w:p>
          <w:p w14:paraId="1E6F0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采取以上措施，对地下水、土壤环境影响较小。</w:t>
            </w:r>
          </w:p>
          <w:p w14:paraId="7FEEA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环境风险分析</w:t>
            </w:r>
          </w:p>
          <w:p w14:paraId="0CFB7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将风险可能性和危害程度降至最低。</w:t>
            </w:r>
          </w:p>
          <w:p w14:paraId="59BAB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风险</w:t>
            </w:r>
            <w:r>
              <w:rPr>
                <w:rFonts w:hint="default" w:ascii="Times New Roman" w:hAnsi="Times New Roman" w:eastAsia="宋体" w:cs="Times New Roman"/>
                <w:color w:val="auto"/>
                <w:sz w:val="24"/>
                <w:highlight w:val="none"/>
                <w:lang w:val="en-US" w:eastAsia="zh-CN"/>
              </w:rPr>
              <w:t>调查</w:t>
            </w:r>
          </w:p>
          <w:p w14:paraId="513344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根据《建设项目环境风险评价技术导则》（HJ</w:t>
            </w:r>
            <w:r>
              <w:rPr>
                <w:rFonts w:hint="default" w:ascii="Times New Roman" w:hAnsi="Times New Roman" w:eastAsia="宋体"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rPr>
              <w:t>169-2018）附录C，</w:t>
            </w:r>
            <w:r>
              <w:rPr>
                <w:rFonts w:hint="default" w:ascii="Times New Roman" w:hAnsi="Times New Roman" w:eastAsia="宋体" w:cs="Times New Roman"/>
                <w:color w:val="auto"/>
                <w:kern w:val="0"/>
                <w:sz w:val="24"/>
                <w:highlight w:val="none"/>
                <w:lang w:val="en-US" w:eastAsia="zh-CN"/>
              </w:rPr>
              <w:t>当只涉及一种危险物质时，计算该物质的总量与其临界量比值，即为Q；</w:t>
            </w:r>
            <w:r>
              <w:rPr>
                <w:rFonts w:hint="default" w:ascii="Times New Roman" w:hAnsi="Times New Roman" w:eastAsia="宋体" w:cs="Times New Roman"/>
                <w:color w:val="auto"/>
                <w:kern w:val="0"/>
                <w:sz w:val="24"/>
                <w:highlight w:val="none"/>
              </w:rPr>
              <w:t>当存在多种危险物质时，按下式计算物质总量与其临界量的比值（Q）：</w:t>
            </w:r>
          </w:p>
          <w:p w14:paraId="6CF06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4"/>
                <w:highlight w:val="none"/>
              </w:rPr>
            </w:pPr>
            <m:oMathPara>
              <m:oMath>
                <m:r>
                  <m:rPr/>
                  <w:rPr>
                    <w:rFonts w:hint="default" w:ascii="Cambria Math" w:hAnsi="Cambria Math" w:eastAsia="宋体" w:cs="Times New Roman"/>
                    <w:color w:val="auto"/>
                    <w:highlight w:val="none"/>
                  </w:rPr>
                  <m:t>Q=</m:t>
                </m:r>
                <m:f>
                  <m:fPr>
                    <m:ctrlPr>
                      <w:rPr>
                        <w:rFonts w:hint="default" w:ascii="Cambria Math" w:hAnsi="Cambria Math" w:eastAsia="宋体" w:cs="Times New Roman"/>
                        <w:i/>
                        <w:color w:val="auto"/>
                        <w:highlight w:val="none"/>
                      </w:rPr>
                    </m:ctrlPr>
                  </m:fPr>
                  <m:num>
                    <m:sSub>
                      <m:sSubPr>
                        <m:ctrlPr>
                          <w:rPr>
                            <w:rFonts w:hint="default" w:ascii="Cambria Math" w:hAnsi="Cambria Math" w:eastAsia="宋体" w:cs="Times New Roman"/>
                            <w:i/>
                            <w:color w:val="auto"/>
                            <w:highlight w:val="none"/>
                          </w:rPr>
                        </m:ctrlPr>
                      </m:sSubPr>
                      <m:e>
                        <m:r>
                          <m:rPr/>
                          <w:rPr>
                            <w:rFonts w:hint="default" w:ascii="Cambria Math" w:hAnsi="Cambria Math" w:eastAsia="宋体" w:cs="Times New Roman"/>
                            <w:color w:val="auto"/>
                            <w:highlight w:val="none"/>
                          </w:rPr>
                          <m:t>q</m:t>
                        </m:r>
                        <m:ctrlPr>
                          <w:rPr>
                            <w:rFonts w:hint="default" w:ascii="Cambria Math" w:hAnsi="Cambria Math" w:eastAsia="宋体" w:cs="Times New Roman"/>
                            <w:color w:val="auto"/>
                            <w:highlight w:val="none"/>
                          </w:rPr>
                        </m:ctrlPr>
                      </m:e>
                      <m:sub>
                        <m:r>
                          <m:rPr/>
                          <w:rPr>
                            <w:rFonts w:hint="default" w:ascii="Cambria Math" w:hAnsi="Cambria Math" w:eastAsia="宋体" w:cs="Times New Roman"/>
                            <w:color w:val="auto"/>
                            <w:highlight w:val="none"/>
                          </w:rPr>
                          <m:t>1</m:t>
                        </m:r>
                        <m:ctrlPr>
                          <w:rPr>
                            <w:rFonts w:hint="default" w:ascii="Cambria Math" w:hAnsi="Cambria Math" w:eastAsia="宋体" w:cs="Times New Roman"/>
                            <w:color w:val="auto"/>
                            <w:highlight w:val="none"/>
                          </w:rPr>
                        </m:ctrlPr>
                      </m:sub>
                    </m:sSub>
                    <m:ctrlPr>
                      <w:rPr>
                        <w:rFonts w:hint="default" w:ascii="Cambria Math" w:hAnsi="Cambria Math" w:eastAsia="宋体" w:cs="Times New Roman"/>
                        <w:i/>
                        <w:color w:val="auto"/>
                        <w:highlight w:val="none"/>
                      </w:rPr>
                    </m:ctrlPr>
                  </m:num>
                  <m:den>
                    <m:sSub>
                      <m:sSubPr>
                        <m:ctrlPr>
                          <w:rPr>
                            <w:rFonts w:hint="default" w:ascii="Cambria Math" w:hAnsi="Cambria Math" w:eastAsia="宋体" w:cs="Times New Roman"/>
                            <w:i/>
                            <w:color w:val="auto"/>
                            <w:highlight w:val="none"/>
                          </w:rPr>
                        </m:ctrlPr>
                      </m:sSubPr>
                      <m:e>
                        <m:r>
                          <m:rPr/>
                          <w:rPr>
                            <w:rFonts w:hint="default" w:ascii="Cambria Math" w:hAnsi="Cambria Math" w:eastAsia="宋体" w:cs="Times New Roman"/>
                            <w:color w:val="auto"/>
                            <w:highlight w:val="none"/>
                          </w:rPr>
                          <m:t>Q</m:t>
                        </m:r>
                        <m:ctrlPr>
                          <w:rPr>
                            <w:rFonts w:hint="default" w:ascii="Cambria Math" w:hAnsi="Cambria Math" w:eastAsia="宋体" w:cs="Times New Roman"/>
                            <w:color w:val="auto"/>
                            <w:highlight w:val="none"/>
                          </w:rPr>
                        </m:ctrlPr>
                      </m:e>
                      <m:sub>
                        <m:r>
                          <m:rPr/>
                          <w:rPr>
                            <w:rFonts w:hint="default" w:ascii="Cambria Math" w:hAnsi="Cambria Math" w:eastAsia="宋体" w:cs="Times New Roman"/>
                            <w:color w:val="auto"/>
                            <w:highlight w:val="none"/>
                          </w:rPr>
                          <m:t>1</m:t>
                        </m:r>
                        <m:ctrlPr>
                          <w:rPr>
                            <w:rFonts w:hint="default" w:ascii="Cambria Math" w:hAnsi="Cambria Math" w:eastAsia="宋体" w:cs="Times New Roman"/>
                            <w:color w:val="auto"/>
                            <w:highlight w:val="none"/>
                          </w:rPr>
                        </m:ctrlPr>
                      </m:sub>
                    </m:sSub>
                    <m:ctrlPr>
                      <w:rPr>
                        <w:rFonts w:hint="default" w:ascii="Cambria Math" w:hAnsi="Cambria Math" w:eastAsia="宋体" w:cs="Times New Roman"/>
                        <w:i/>
                        <w:color w:val="auto"/>
                        <w:highlight w:val="none"/>
                      </w:rPr>
                    </m:ctrlPr>
                  </m:den>
                </m:f>
                <m:r>
                  <m:rPr/>
                  <w:rPr>
                    <w:rFonts w:hint="default" w:ascii="Cambria Math" w:hAnsi="Cambria Math" w:eastAsia="宋体" w:cs="Times New Roman"/>
                    <w:color w:val="auto"/>
                    <w:highlight w:val="none"/>
                  </w:rPr>
                  <m:t>+</m:t>
                </m:r>
                <m:f>
                  <m:fPr>
                    <m:ctrlPr>
                      <w:rPr>
                        <w:rFonts w:hint="default" w:ascii="Cambria Math" w:hAnsi="Cambria Math" w:eastAsia="宋体" w:cs="Times New Roman"/>
                        <w:i/>
                        <w:color w:val="auto"/>
                        <w:highlight w:val="none"/>
                      </w:rPr>
                    </m:ctrlPr>
                  </m:fPr>
                  <m:num>
                    <m:sSub>
                      <m:sSubPr>
                        <m:ctrlPr>
                          <w:rPr>
                            <w:rFonts w:hint="default" w:ascii="Cambria Math" w:hAnsi="Cambria Math" w:eastAsia="宋体" w:cs="Times New Roman"/>
                            <w:i/>
                            <w:color w:val="auto"/>
                            <w:highlight w:val="none"/>
                          </w:rPr>
                        </m:ctrlPr>
                      </m:sSubPr>
                      <m:e>
                        <m:r>
                          <m:rPr/>
                          <w:rPr>
                            <w:rFonts w:hint="default" w:ascii="Cambria Math" w:hAnsi="Cambria Math" w:eastAsia="宋体" w:cs="Times New Roman"/>
                            <w:color w:val="auto"/>
                            <w:highlight w:val="none"/>
                          </w:rPr>
                          <m:t>q</m:t>
                        </m:r>
                        <m:ctrlPr>
                          <w:rPr>
                            <w:rFonts w:hint="default" w:ascii="Cambria Math" w:hAnsi="Cambria Math" w:eastAsia="宋体" w:cs="Times New Roman"/>
                            <w:color w:val="auto"/>
                            <w:highlight w:val="none"/>
                          </w:rPr>
                        </m:ctrlPr>
                      </m:e>
                      <m:sub>
                        <m:r>
                          <m:rPr/>
                          <w:rPr>
                            <w:rFonts w:hint="default" w:ascii="Cambria Math" w:hAnsi="Cambria Math" w:eastAsia="宋体" w:cs="Times New Roman"/>
                            <w:color w:val="auto"/>
                            <w:highlight w:val="none"/>
                          </w:rPr>
                          <m:t>2</m:t>
                        </m:r>
                        <m:ctrlPr>
                          <w:rPr>
                            <w:rFonts w:hint="default" w:ascii="Cambria Math" w:hAnsi="Cambria Math" w:eastAsia="宋体" w:cs="Times New Roman"/>
                            <w:color w:val="auto"/>
                            <w:highlight w:val="none"/>
                          </w:rPr>
                        </m:ctrlPr>
                      </m:sub>
                    </m:sSub>
                    <m:ctrlPr>
                      <w:rPr>
                        <w:rFonts w:hint="default" w:ascii="Cambria Math" w:hAnsi="Cambria Math" w:eastAsia="宋体" w:cs="Times New Roman"/>
                        <w:i/>
                        <w:color w:val="auto"/>
                        <w:highlight w:val="none"/>
                      </w:rPr>
                    </m:ctrlPr>
                  </m:num>
                  <m:den>
                    <m:sSub>
                      <m:sSubPr>
                        <m:ctrlPr>
                          <w:rPr>
                            <w:rFonts w:hint="default" w:ascii="Cambria Math" w:hAnsi="Cambria Math" w:eastAsia="宋体" w:cs="Times New Roman"/>
                            <w:i/>
                            <w:color w:val="auto"/>
                            <w:highlight w:val="none"/>
                          </w:rPr>
                        </m:ctrlPr>
                      </m:sSubPr>
                      <m:e>
                        <m:r>
                          <m:rPr/>
                          <w:rPr>
                            <w:rFonts w:hint="default" w:ascii="Cambria Math" w:hAnsi="Cambria Math" w:eastAsia="宋体" w:cs="Times New Roman"/>
                            <w:color w:val="auto"/>
                            <w:highlight w:val="none"/>
                          </w:rPr>
                          <m:t>Q</m:t>
                        </m:r>
                        <m:ctrlPr>
                          <w:rPr>
                            <w:rFonts w:hint="default" w:ascii="Cambria Math" w:hAnsi="Cambria Math" w:eastAsia="宋体" w:cs="Times New Roman"/>
                            <w:color w:val="auto"/>
                            <w:highlight w:val="none"/>
                          </w:rPr>
                        </m:ctrlPr>
                      </m:e>
                      <m:sub>
                        <m:r>
                          <m:rPr/>
                          <w:rPr>
                            <w:rFonts w:hint="default" w:ascii="Cambria Math" w:hAnsi="Cambria Math" w:eastAsia="宋体" w:cs="Times New Roman"/>
                            <w:color w:val="auto"/>
                            <w:highlight w:val="none"/>
                          </w:rPr>
                          <m:t>2</m:t>
                        </m:r>
                        <m:ctrlPr>
                          <w:rPr>
                            <w:rFonts w:hint="default" w:ascii="Cambria Math" w:hAnsi="Cambria Math" w:eastAsia="宋体" w:cs="Times New Roman"/>
                            <w:color w:val="auto"/>
                            <w:highlight w:val="none"/>
                          </w:rPr>
                        </m:ctrlPr>
                      </m:sub>
                    </m:sSub>
                    <m:ctrlPr>
                      <w:rPr>
                        <w:rFonts w:hint="default" w:ascii="Cambria Math" w:hAnsi="Cambria Math" w:eastAsia="宋体" w:cs="Times New Roman"/>
                        <w:i/>
                        <w:color w:val="auto"/>
                        <w:highlight w:val="none"/>
                      </w:rPr>
                    </m:ctrlPr>
                  </m:den>
                </m:f>
                <m:r>
                  <m:rPr/>
                  <w:rPr>
                    <w:rFonts w:hint="default" w:ascii="Cambria Math" w:hAnsi="Cambria Math" w:eastAsia="宋体" w:cs="Times New Roman"/>
                    <w:color w:val="auto"/>
                    <w:highlight w:val="none"/>
                  </w:rPr>
                  <m:t>+⋯</m:t>
                </m:r>
                <m:f>
                  <m:fPr>
                    <m:ctrlPr>
                      <w:rPr>
                        <w:rFonts w:hint="default" w:ascii="Cambria Math" w:hAnsi="Cambria Math" w:eastAsia="宋体" w:cs="Times New Roman"/>
                        <w:i/>
                        <w:color w:val="auto"/>
                        <w:highlight w:val="none"/>
                      </w:rPr>
                    </m:ctrlPr>
                  </m:fPr>
                  <m:num>
                    <m:sSub>
                      <m:sSubPr>
                        <m:ctrlPr>
                          <w:rPr>
                            <w:rFonts w:hint="default" w:ascii="Cambria Math" w:hAnsi="Cambria Math" w:eastAsia="宋体" w:cs="Times New Roman"/>
                            <w:i/>
                            <w:color w:val="auto"/>
                            <w:highlight w:val="none"/>
                          </w:rPr>
                        </m:ctrlPr>
                      </m:sSubPr>
                      <m:e>
                        <m:r>
                          <m:rPr/>
                          <w:rPr>
                            <w:rFonts w:hint="default" w:ascii="Cambria Math" w:hAnsi="Cambria Math" w:eastAsia="宋体" w:cs="Times New Roman"/>
                            <w:color w:val="auto"/>
                            <w:highlight w:val="none"/>
                          </w:rPr>
                          <m:t>q</m:t>
                        </m:r>
                        <m:ctrlPr>
                          <w:rPr>
                            <w:rFonts w:hint="default" w:ascii="Cambria Math" w:hAnsi="Cambria Math" w:eastAsia="宋体" w:cs="Times New Roman"/>
                            <w:color w:val="auto"/>
                            <w:highlight w:val="none"/>
                          </w:rPr>
                        </m:ctrlPr>
                      </m:e>
                      <m:sub>
                        <m:r>
                          <m:rPr/>
                          <w:rPr>
                            <w:rFonts w:hint="default" w:ascii="Cambria Math" w:hAnsi="Cambria Math" w:eastAsia="宋体" w:cs="Times New Roman"/>
                            <w:color w:val="auto"/>
                            <w:highlight w:val="none"/>
                          </w:rPr>
                          <m:t>n</m:t>
                        </m:r>
                        <m:ctrlPr>
                          <w:rPr>
                            <w:rFonts w:hint="default" w:ascii="Cambria Math" w:hAnsi="Cambria Math" w:eastAsia="宋体" w:cs="Times New Roman"/>
                            <w:color w:val="auto"/>
                            <w:highlight w:val="none"/>
                          </w:rPr>
                        </m:ctrlPr>
                      </m:sub>
                    </m:sSub>
                    <m:ctrlPr>
                      <w:rPr>
                        <w:rFonts w:hint="default" w:ascii="Cambria Math" w:hAnsi="Cambria Math" w:eastAsia="宋体" w:cs="Times New Roman"/>
                        <w:i/>
                        <w:color w:val="auto"/>
                        <w:highlight w:val="none"/>
                      </w:rPr>
                    </m:ctrlPr>
                  </m:num>
                  <m:den>
                    <m:sSub>
                      <m:sSubPr>
                        <m:ctrlPr>
                          <w:rPr>
                            <w:rFonts w:hint="default" w:ascii="Cambria Math" w:hAnsi="Cambria Math" w:eastAsia="宋体" w:cs="Times New Roman"/>
                            <w:i/>
                            <w:color w:val="auto"/>
                            <w:highlight w:val="none"/>
                          </w:rPr>
                        </m:ctrlPr>
                      </m:sSubPr>
                      <m:e>
                        <m:r>
                          <m:rPr/>
                          <w:rPr>
                            <w:rFonts w:hint="default" w:ascii="Cambria Math" w:hAnsi="Cambria Math" w:eastAsia="宋体" w:cs="Times New Roman"/>
                            <w:color w:val="auto"/>
                            <w:highlight w:val="none"/>
                          </w:rPr>
                          <m:t>Q</m:t>
                        </m:r>
                        <m:ctrlPr>
                          <w:rPr>
                            <w:rFonts w:hint="default" w:ascii="Cambria Math" w:hAnsi="Cambria Math" w:eastAsia="宋体" w:cs="Times New Roman"/>
                            <w:color w:val="auto"/>
                            <w:highlight w:val="none"/>
                          </w:rPr>
                        </m:ctrlPr>
                      </m:e>
                      <m:sub>
                        <m:r>
                          <m:rPr/>
                          <w:rPr>
                            <w:rFonts w:hint="default" w:ascii="Cambria Math" w:hAnsi="Cambria Math" w:eastAsia="宋体" w:cs="Times New Roman"/>
                            <w:color w:val="auto"/>
                            <w:highlight w:val="none"/>
                          </w:rPr>
                          <m:t>n</m:t>
                        </m:r>
                        <m:ctrlPr>
                          <w:rPr>
                            <w:rFonts w:hint="default" w:ascii="Cambria Math" w:hAnsi="Cambria Math" w:eastAsia="宋体" w:cs="Times New Roman"/>
                            <w:color w:val="auto"/>
                            <w:highlight w:val="none"/>
                          </w:rPr>
                        </m:ctrlPr>
                      </m:sub>
                    </m:sSub>
                    <m:ctrlPr>
                      <w:rPr>
                        <w:rFonts w:hint="default" w:ascii="Cambria Math" w:hAnsi="Cambria Math" w:eastAsia="宋体" w:cs="Times New Roman"/>
                        <w:i/>
                        <w:color w:val="auto"/>
                        <w:highlight w:val="none"/>
                      </w:rPr>
                    </m:ctrlPr>
                  </m:den>
                </m:f>
              </m:oMath>
            </m:oMathPara>
          </w:p>
          <w:p w14:paraId="22A7B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i/>
                <w:color w:val="auto"/>
                <w:sz w:val="24"/>
                <w:highlight w:val="none"/>
              </w:rPr>
              <w:t>q</w:t>
            </w:r>
            <w:r>
              <w:rPr>
                <w:rFonts w:hint="default" w:ascii="Times New Roman" w:hAnsi="Times New Roman" w:eastAsia="宋体" w:cs="Times New Roman"/>
                <w:i/>
                <w:color w:val="auto"/>
                <w:sz w:val="24"/>
                <w:highlight w:val="none"/>
                <w:vertAlign w:val="subscript"/>
              </w:rPr>
              <w:t>1</w:t>
            </w:r>
            <w:r>
              <w:rPr>
                <w:rFonts w:hint="default" w:ascii="Times New Roman" w:hAnsi="Times New Roman" w:eastAsia="宋体" w:cs="Times New Roman"/>
                <w:i/>
                <w:color w:val="auto"/>
                <w:sz w:val="24"/>
                <w:highlight w:val="none"/>
                <w:lang w:eastAsia="zh-CN"/>
              </w:rPr>
              <w:t>，</w:t>
            </w:r>
            <w:r>
              <w:rPr>
                <w:rFonts w:hint="default" w:ascii="Times New Roman" w:hAnsi="Times New Roman" w:eastAsia="宋体" w:cs="Times New Roman"/>
                <w:i/>
                <w:color w:val="auto"/>
                <w:sz w:val="24"/>
                <w:highlight w:val="none"/>
              </w:rPr>
              <w:t>q</w:t>
            </w:r>
            <w:r>
              <w:rPr>
                <w:rFonts w:hint="default" w:ascii="Times New Roman" w:hAnsi="Times New Roman" w:eastAsia="宋体" w:cs="Times New Roman"/>
                <w:i/>
                <w:color w:val="auto"/>
                <w:sz w:val="24"/>
                <w:highlight w:val="none"/>
                <w:vertAlign w:val="subscript"/>
              </w:rPr>
              <w:t>2</w:t>
            </w:r>
            <w:r>
              <w:rPr>
                <w:rFonts w:hint="default" w:ascii="Times New Roman" w:hAnsi="Times New Roman" w:eastAsia="宋体" w:cs="Times New Roman"/>
                <w:i/>
                <w:color w:val="auto"/>
                <w:sz w:val="24"/>
                <w:highlight w:val="none"/>
                <w:lang w:eastAsia="zh-CN"/>
              </w:rPr>
              <w:t>，</w:t>
            </w:r>
            <w:r>
              <w:rPr>
                <w:rFonts w:hint="default" w:ascii="Times New Roman" w:hAnsi="Times New Roman" w:eastAsia="宋体" w:cs="Times New Roman"/>
                <w:i/>
                <w:color w:val="auto"/>
                <w:sz w:val="24"/>
                <w:highlight w:val="none"/>
              </w:rPr>
              <w:t>…q</w:t>
            </w:r>
            <w:r>
              <w:rPr>
                <w:rFonts w:hint="default" w:ascii="Times New Roman" w:hAnsi="Times New Roman" w:eastAsia="宋体" w:cs="Times New Roman"/>
                <w:i/>
                <w:color w:val="auto"/>
                <w:sz w:val="24"/>
                <w:highlight w:val="none"/>
                <w:vertAlign w:val="subscript"/>
              </w:rPr>
              <w:t>n</w:t>
            </w:r>
            <w:r>
              <w:rPr>
                <w:rFonts w:hint="default" w:ascii="Times New Roman" w:hAnsi="Times New Roman" w:eastAsia="宋体" w:cs="Times New Roman"/>
                <w:color w:val="auto"/>
                <w:sz w:val="24"/>
                <w:highlight w:val="none"/>
              </w:rPr>
              <w:t>—每种危险物质的最大存在量，t；</w:t>
            </w:r>
          </w:p>
          <w:p w14:paraId="13219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i/>
                <w:color w:val="auto"/>
                <w:sz w:val="24"/>
                <w:highlight w:val="none"/>
              </w:rPr>
              <w:t>Q</w:t>
            </w:r>
            <w:r>
              <w:rPr>
                <w:rFonts w:hint="default" w:ascii="Times New Roman" w:hAnsi="Times New Roman" w:eastAsia="宋体" w:cs="Times New Roman"/>
                <w:i/>
                <w:color w:val="auto"/>
                <w:sz w:val="24"/>
                <w:highlight w:val="none"/>
                <w:vertAlign w:val="subscript"/>
              </w:rPr>
              <w:t>1</w:t>
            </w:r>
            <w:r>
              <w:rPr>
                <w:rFonts w:hint="default" w:ascii="Times New Roman" w:hAnsi="Times New Roman" w:eastAsia="宋体" w:cs="Times New Roman"/>
                <w:i/>
                <w:color w:val="auto"/>
                <w:sz w:val="24"/>
                <w:highlight w:val="none"/>
                <w:lang w:eastAsia="zh-CN"/>
              </w:rPr>
              <w:t>，</w:t>
            </w:r>
            <w:r>
              <w:rPr>
                <w:rFonts w:hint="default" w:ascii="Times New Roman" w:hAnsi="Times New Roman" w:eastAsia="宋体" w:cs="Times New Roman"/>
                <w:i/>
                <w:color w:val="auto"/>
                <w:sz w:val="24"/>
                <w:highlight w:val="none"/>
              </w:rPr>
              <w:t>Q</w:t>
            </w:r>
            <w:r>
              <w:rPr>
                <w:rFonts w:hint="default" w:ascii="Times New Roman" w:hAnsi="Times New Roman" w:eastAsia="宋体" w:cs="Times New Roman"/>
                <w:i/>
                <w:color w:val="auto"/>
                <w:sz w:val="24"/>
                <w:highlight w:val="none"/>
                <w:vertAlign w:val="subscript"/>
              </w:rPr>
              <w:t>2</w:t>
            </w:r>
            <w:r>
              <w:rPr>
                <w:rFonts w:hint="default" w:ascii="Times New Roman" w:hAnsi="Times New Roman" w:eastAsia="宋体" w:cs="Times New Roman"/>
                <w:i/>
                <w:color w:val="auto"/>
                <w:sz w:val="24"/>
                <w:highlight w:val="none"/>
                <w:lang w:eastAsia="zh-CN"/>
              </w:rPr>
              <w:t>，</w:t>
            </w:r>
            <w:r>
              <w:rPr>
                <w:rFonts w:hint="default" w:ascii="Times New Roman" w:hAnsi="Times New Roman" w:eastAsia="宋体" w:cs="Times New Roman"/>
                <w:i/>
                <w:color w:val="auto"/>
                <w:sz w:val="24"/>
                <w:highlight w:val="none"/>
              </w:rPr>
              <w:t>…Q</w:t>
            </w:r>
            <w:r>
              <w:rPr>
                <w:rFonts w:hint="default" w:ascii="Times New Roman" w:hAnsi="Times New Roman" w:eastAsia="宋体" w:cs="Times New Roman"/>
                <w:i/>
                <w:color w:val="auto"/>
                <w:sz w:val="24"/>
                <w:highlight w:val="none"/>
                <w:vertAlign w:val="subscript"/>
              </w:rPr>
              <w:t>n</w:t>
            </w:r>
            <w:r>
              <w:rPr>
                <w:rFonts w:hint="default" w:ascii="Times New Roman" w:hAnsi="Times New Roman" w:eastAsia="宋体" w:cs="Times New Roman"/>
                <w:color w:val="auto"/>
                <w:sz w:val="24"/>
                <w:highlight w:val="none"/>
              </w:rPr>
              <w:t>—每种危险物质的临界量，t。</w:t>
            </w:r>
          </w:p>
          <w:p w14:paraId="21D9E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当Q＜1时，该项目环境风险潜势为Ⅰ。</w:t>
            </w:r>
          </w:p>
          <w:p w14:paraId="67311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当Q≥1时，将Q值划分为：1≤Q＜10；10≤Q＜100；Q≥100。</w:t>
            </w:r>
          </w:p>
          <w:p w14:paraId="53BB2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环境风险判别结果见下表。</w:t>
            </w:r>
          </w:p>
          <w:p w14:paraId="069CC382">
            <w:pPr>
              <w:pStyle w:val="50"/>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ascii="Times New Roman" w:hAnsi="Times New Roman" w:cs="Times New Roman"/>
                <w:b/>
                <w:bCs/>
                <w:color w:val="auto"/>
                <w:sz w:val="21"/>
                <w:szCs w:val="21"/>
                <w:highlight w:val="none"/>
                <w:lang w:val="en-US" w:eastAsia="zh-CN"/>
              </w:rPr>
              <w:t>13</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环境风险判别结果表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791"/>
              <w:gridCol w:w="1546"/>
              <w:gridCol w:w="1434"/>
              <w:gridCol w:w="1470"/>
            </w:tblGrid>
            <w:tr w14:paraId="1115E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31B77DAA">
                  <w:pPr>
                    <w:pStyle w:val="58"/>
                    <w:keepNext w:val="0"/>
                    <w:keepLines w:val="0"/>
                    <w:pageBreakBefore w:val="0"/>
                    <w:widowControl/>
                    <w:suppressLineNumbers w:val="0"/>
                    <w:kinsoku/>
                    <w:wordWrap/>
                    <w:overflowPunct/>
                    <w:topLinePunct w:val="0"/>
                    <w:autoSpaceDE w:val="0"/>
                    <w:autoSpaceDN w:val="0"/>
                    <w:bidi w:val="0"/>
                    <w:adjustRightInd w:val="0"/>
                    <w:snapToGrid/>
                    <w:spacing w:before="0" w:beforeLines="0" w:beforeAutospacing="0" w:after="0" w:afterLines="0" w:afterAutospacing="0" w:line="240" w:lineRule="auto"/>
                    <w:ind w:left="0" w:right="0" w:firstLine="0"/>
                    <w:jc w:val="center"/>
                    <w:textAlignment w:val="bottom"/>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序号</w:t>
                  </w:r>
                </w:p>
              </w:tc>
              <w:tc>
                <w:tcPr>
                  <w:tcW w:w="1762" w:type="pct"/>
                  <w:tcBorders>
                    <w:tl2br w:val="nil"/>
                    <w:tr2bl w:val="nil"/>
                  </w:tcBorders>
                  <w:noWrap w:val="0"/>
                  <w:vAlign w:val="center"/>
                </w:tcPr>
                <w:p w14:paraId="37E20B9F">
                  <w:pPr>
                    <w:pStyle w:val="58"/>
                    <w:keepNext w:val="0"/>
                    <w:keepLines w:val="0"/>
                    <w:pageBreakBefore w:val="0"/>
                    <w:widowControl/>
                    <w:suppressLineNumbers w:val="0"/>
                    <w:kinsoku/>
                    <w:wordWrap/>
                    <w:overflowPunct/>
                    <w:topLinePunct w:val="0"/>
                    <w:autoSpaceDE w:val="0"/>
                    <w:autoSpaceDN w:val="0"/>
                    <w:bidi w:val="0"/>
                    <w:adjustRightInd w:val="0"/>
                    <w:snapToGrid/>
                    <w:spacing w:before="0" w:beforeLines="0" w:beforeAutospacing="0" w:after="0" w:afterLines="0" w:afterAutospacing="0" w:line="240" w:lineRule="auto"/>
                    <w:ind w:left="0" w:right="0" w:firstLine="0"/>
                    <w:jc w:val="center"/>
                    <w:textAlignment w:val="bottom"/>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风险物质名称</w:t>
                  </w:r>
                </w:p>
              </w:tc>
              <w:tc>
                <w:tcPr>
                  <w:tcW w:w="976" w:type="pct"/>
                  <w:tcBorders>
                    <w:tl2br w:val="nil"/>
                    <w:tr2bl w:val="nil"/>
                  </w:tcBorders>
                  <w:noWrap w:val="0"/>
                  <w:vAlign w:val="center"/>
                </w:tcPr>
                <w:p w14:paraId="7A5D2B9F">
                  <w:pPr>
                    <w:pStyle w:val="58"/>
                    <w:keepNext w:val="0"/>
                    <w:keepLines w:val="0"/>
                    <w:pageBreakBefore w:val="0"/>
                    <w:widowControl/>
                    <w:suppressLineNumbers w:val="0"/>
                    <w:kinsoku/>
                    <w:wordWrap/>
                    <w:overflowPunct/>
                    <w:topLinePunct w:val="0"/>
                    <w:autoSpaceDE w:val="0"/>
                    <w:autoSpaceDN w:val="0"/>
                    <w:bidi w:val="0"/>
                    <w:adjustRightInd w:val="0"/>
                    <w:snapToGrid/>
                    <w:spacing w:before="0" w:beforeLines="0" w:beforeAutospacing="0" w:after="0" w:afterLines="0" w:afterAutospacing="0" w:line="240" w:lineRule="auto"/>
                    <w:ind w:left="0" w:right="0" w:firstLine="0"/>
                    <w:jc w:val="center"/>
                    <w:textAlignment w:val="bottom"/>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厂内最大储存量q（t）</w:t>
                  </w:r>
                </w:p>
              </w:tc>
              <w:tc>
                <w:tcPr>
                  <w:tcW w:w="904" w:type="pct"/>
                  <w:tcBorders>
                    <w:tl2br w:val="nil"/>
                    <w:tr2bl w:val="nil"/>
                  </w:tcBorders>
                  <w:noWrap w:val="0"/>
                  <w:vAlign w:val="center"/>
                </w:tcPr>
                <w:p w14:paraId="7BF27252">
                  <w:pPr>
                    <w:pStyle w:val="58"/>
                    <w:keepNext w:val="0"/>
                    <w:keepLines w:val="0"/>
                    <w:pageBreakBefore w:val="0"/>
                    <w:widowControl/>
                    <w:suppressLineNumbers w:val="0"/>
                    <w:kinsoku/>
                    <w:wordWrap/>
                    <w:overflowPunct/>
                    <w:topLinePunct w:val="0"/>
                    <w:autoSpaceDE w:val="0"/>
                    <w:autoSpaceDN w:val="0"/>
                    <w:bidi w:val="0"/>
                    <w:adjustRightInd w:val="0"/>
                    <w:snapToGrid/>
                    <w:spacing w:before="0" w:beforeLines="0" w:beforeAutospacing="0" w:after="0" w:afterLines="0" w:afterAutospacing="0" w:line="240" w:lineRule="auto"/>
                    <w:ind w:left="0" w:right="0" w:firstLine="0"/>
                    <w:jc w:val="center"/>
                    <w:textAlignment w:val="bottom"/>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临界量Q（t）</w:t>
                  </w:r>
                </w:p>
              </w:tc>
              <w:tc>
                <w:tcPr>
                  <w:tcW w:w="928" w:type="pct"/>
                  <w:tcBorders>
                    <w:tl2br w:val="nil"/>
                    <w:tr2bl w:val="nil"/>
                  </w:tcBorders>
                  <w:noWrap w:val="0"/>
                  <w:vAlign w:val="center"/>
                </w:tcPr>
                <w:p w14:paraId="2436115F">
                  <w:pPr>
                    <w:pStyle w:val="58"/>
                    <w:keepNext w:val="0"/>
                    <w:keepLines w:val="0"/>
                    <w:pageBreakBefore w:val="0"/>
                    <w:widowControl/>
                    <w:suppressLineNumbers w:val="0"/>
                    <w:kinsoku/>
                    <w:wordWrap/>
                    <w:overflowPunct/>
                    <w:topLinePunct w:val="0"/>
                    <w:autoSpaceDE w:val="0"/>
                    <w:autoSpaceDN w:val="0"/>
                    <w:bidi w:val="0"/>
                    <w:adjustRightInd w:val="0"/>
                    <w:snapToGrid/>
                    <w:spacing w:before="0" w:beforeLines="0" w:beforeAutospacing="0" w:after="0" w:afterLines="0" w:afterAutospacing="0" w:line="240" w:lineRule="auto"/>
                    <w:ind w:left="0" w:right="0" w:firstLine="0"/>
                    <w:jc w:val="center"/>
                    <w:textAlignment w:val="bottom"/>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q/Q</w:t>
                  </w:r>
                </w:p>
              </w:tc>
            </w:tr>
            <w:tr w14:paraId="39FCA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707BC5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762" w:type="pct"/>
                  <w:tcBorders>
                    <w:tl2br w:val="nil"/>
                    <w:tr2bl w:val="nil"/>
                  </w:tcBorders>
                  <w:noWrap w:val="0"/>
                  <w:vAlign w:val="center"/>
                </w:tcPr>
                <w:p w14:paraId="58FCC6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液压油</w:t>
                  </w:r>
                </w:p>
              </w:tc>
              <w:tc>
                <w:tcPr>
                  <w:tcW w:w="976" w:type="pct"/>
                  <w:tcBorders>
                    <w:tl2br w:val="nil"/>
                    <w:tr2bl w:val="nil"/>
                  </w:tcBorders>
                  <w:noWrap w:val="0"/>
                  <w:vAlign w:val="center"/>
                </w:tcPr>
                <w:p w14:paraId="567AE28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0.5</w:t>
                  </w:r>
                </w:p>
              </w:tc>
              <w:tc>
                <w:tcPr>
                  <w:tcW w:w="904" w:type="pct"/>
                  <w:tcBorders>
                    <w:tl2br w:val="nil"/>
                    <w:tr2bl w:val="nil"/>
                  </w:tcBorders>
                  <w:noWrap w:val="0"/>
                  <w:vAlign w:val="center"/>
                </w:tcPr>
                <w:p w14:paraId="3A3F661F">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2500</w:t>
                  </w:r>
                </w:p>
              </w:tc>
              <w:tc>
                <w:tcPr>
                  <w:tcW w:w="928" w:type="pct"/>
                  <w:tcBorders>
                    <w:tl2br w:val="nil"/>
                    <w:tr2bl w:val="nil"/>
                  </w:tcBorders>
                  <w:noWrap w:val="0"/>
                  <w:vAlign w:val="center"/>
                </w:tcPr>
                <w:p w14:paraId="1A14E46F">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0.0002</w:t>
                  </w:r>
                </w:p>
              </w:tc>
            </w:tr>
            <w:tr w14:paraId="76DB4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703BBB06">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762" w:type="pct"/>
                  <w:tcBorders>
                    <w:tl2br w:val="nil"/>
                    <w:tr2bl w:val="nil"/>
                  </w:tcBorders>
                  <w:noWrap w:val="0"/>
                  <w:vAlign w:val="center"/>
                </w:tcPr>
                <w:p w14:paraId="5029E2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真空泵油</w:t>
                  </w:r>
                </w:p>
              </w:tc>
              <w:tc>
                <w:tcPr>
                  <w:tcW w:w="976" w:type="pct"/>
                  <w:tcBorders>
                    <w:tl2br w:val="nil"/>
                    <w:tr2bl w:val="nil"/>
                  </w:tcBorders>
                  <w:noWrap w:val="0"/>
                  <w:vAlign w:val="center"/>
                </w:tcPr>
                <w:p w14:paraId="76F53E0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1</w:t>
                  </w:r>
                </w:p>
              </w:tc>
              <w:tc>
                <w:tcPr>
                  <w:tcW w:w="904" w:type="pct"/>
                  <w:tcBorders>
                    <w:tl2br w:val="nil"/>
                    <w:tr2bl w:val="nil"/>
                  </w:tcBorders>
                  <w:noWrap w:val="0"/>
                  <w:vAlign w:val="center"/>
                </w:tcPr>
                <w:p w14:paraId="5907357F">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2500</w:t>
                  </w:r>
                </w:p>
              </w:tc>
              <w:tc>
                <w:tcPr>
                  <w:tcW w:w="928" w:type="pct"/>
                  <w:tcBorders>
                    <w:tl2br w:val="nil"/>
                    <w:tr2bl w:val="nil"/>
                  </w:tcBorders>
                  <w:noWrap w:val="0"/>
                  <w:vAlign w:val="center"/>
                </w:tcPr>
                <w:p w14:paraId="5E497128">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0.0004</w:t>
                  </w:r>
                </w:p>
              </w:tc>
            </w:tr>
            <w:tr w14:paraId="5BBD2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1C1A2477">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762" w:type="pct"/>
                  <w:tcBorders>
                    <w:tl2br w:val="nil"/>
                    <w:tr2bl w:val="nil"/>
                  </w:tcBorders>
                  <w:noWrap w:val="0"/>
                  <w:vAlign w:val="center"/>
                </w:tcPr>
                <w:p w14:paraId="78F846A5">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润滑油</w:t>
                  </w:r>
                </w:p>
              </w:tc>
              <w:tc>
                <w:tcPr>
                  <w:tcW w:w="976" w:type="pct"/>
                  <w:tcBorders>
                    <w:tl2br w:val="nil"/>
                    <w:tr2bl w:val="nil"/>
                  </w:tcBorders>
                  <w:noWrap w:val="0"/>
                  <w:vAlign w:val="center"/>
                </w:tcPr>
                <w:p w14:paraId="363598E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0.055</w:t>
                  </w:r>
                </w:p>
              </w:tc>
              <w:tc>
                <w:tcPr>
                  <w:tcW w:w="904" w:type="pct"/>
                  <w:tcBorders>
                    <w:tl2br w:val="nil"/>
                    <w:tr2bl w:val="nil"/>
                  </w:tcBorders>
                  <w:noWrap w:val="0"/>
                  <w:vAlign w:val="center"/>
                </w:tcPr>
                <w:p w14:paraId="6E96387E">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2500</w:t>
                  </w:r>
                </w:p>
              </w:tc>
              <w:tc>
                <w:tcPr>
                  <w:tcW w:w="928" w:type="pct"/>
                  <w:tcBorders>
                    <w:tl2br w:val="nil"/>
                    <w:tr2bl w:val="nil"/>
                  </w:tcBorders>
                  <w:noWrap w:val="0"/>
                  <w:vAlign w:val="center"/>
                </w:tcPr>
                <w:p w14:paraId="21F34C43">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0.000022</w:t>
                  </w:r>
                </w:p>
              </w:tc>
            </w:tr>
            <w:tr w14:paraId="62FC2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11C58A7C">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762" w:type="pct"/>
                  <w:tcBorders>
                    <w:tl2br w:val="nil"/>
                    <w:tr2bl w:val="nil"/>
                  </w:tcBorders>
                  <w:noWrap w:val="0"/>
                  <w:vAlign w:val="center"/>
                </w:tcPr>
                <w:p w14:paraId="635946D7">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切削液</w:t>
                  </w:r>
                </w:p>
              </w:tc>
              <w:tc>
                <w:tcPr>
                  <w:tcW w:w="976" w:type="pct"/>
                  <w:tcBorders>
                    <w:tl2br w:val="nil"/>
                    <w:tr2bl w:val="nil"/>
                  </w:tcBorders>
                  <w:noWrap w:val="0"/>
                  <w:vAlign w:val="center"/>
                </w:tcPr>
                <w:p w14:paraId="113644F2">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i w:val="0"/>
                      <w:iCs w:val="0"/>
                      <w:color w:val="auto"/>
                      <w:kern w:val="0"/>
                      <w:sz w:val="21"/>
                      <w:szCs w:val="21"/>
                      <w:highlight w:val="none"/>
                      <w:u w:val="none"/>
                      <w:lang w:val="en-US" w:eastAsia="zh-CN" w:bidi="ar"/>
                    </w:rPr>
                  </w:pPr>
                  <w:r>
                    <w:rPr>
                      <w:rFonts w:hint="eastAsia" w:cs="Times New Roman"/>
                      <w:color w:val="auto"/>
                      <w:highlight w:val="none"/>
                      <w:lang w:val="en-US" w:eastAsia="zh-CN"/>
                    </w:rPr>
                    <w:t>2</w:t>
                  </w:r>
                </w:p>
              </w:tc>
              <w:tc>
                <w:tcPr>
                  <w:tcW w:w="904" w:type="pct"/>
                  <w:tcBorders>
                    <w:tl2br w:val="nil"/>
                    <w:tr2bl w:val="nil"/>
                  </w:tcBorders>
                  <w:noWrap w:val="0"/>
                  <w:vAlign w:val="center"/>
                </w:tcPr>
                <w:p w14:paraId="44E8EA18">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2500</w:t>
                  </w:r>
                </w:p>
              </w:tc>
              <w:tc>
                <w:tcPr>
                  <w:tcW w:w="928" w:type="pct"/>
                  <w:tcBorders>
                    <w:tl2br w:val="nil"/>
                    <w:tr2bl w:val="nil"/>
                  </w:tcBorders>
                  <w:noWrap w:val="0"/>
                  <w:vAlign w:val="center"/>
                </w:tcPr>
                <w:p w14:paraId="4F2C9390">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0.0008</w:t>
                  </w:r>
                </w:p>
              </w:tc>
            </w:tr>
            <w:tr w14:paraId="68FDD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1E2899FB">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762" w:type="pct"/>
                  <w:tcBorders>
                    <w:tl2br w:val="nil"/>
                    <w:tr2bl w:val="nil"/>
                  </w:tcBorders>
                  <w:noWrap w:val="0"/>
                  <w:vAlign w:val="center"/>
                </w:tcPr>
                <w:p w14:paraId="21706521">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废液压油</w:t>
                  </w:r>
                </w:p>
              </w:tc>
              <w:tc>
                <w:tcPr>
                  <w:tcW w:w="976" w:type="pct"/>
                  <w:tcBorders>
                    <w:tl2br w:val="nil"/>
                    <w:tr2bl w:val="nil"/>
                  </w:tcBorders>
                  <w:noWrap w:val="0"/>
                  <w:vAlign w:val="center"/>
                </w:tcPr>
                <w:p w14:paraId="7136579B">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0.49</w:t>
                  </w:r>
                </w:p>
              </w:tc>
              <w:tc>
                <w:tcPr>
                  <w:tcW w:w="904" w:type="pct"/>
                  <w:tcBorders>
                    <w:tl2br w:val="nil"/>
                    <w:tr2bl w:val="nil"/>
                  </w:tcBorders>
                  <w:noWrap w:val="0"/>
                  <w:vAlign w:val="center"/>
                </w:tcPr>
                <w:p w14:paraId="55DE2D83">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928" w:type="pct"/>
                  <w:tcBorders>
                    <w:tl2br w:val="nil"/>
                    <w:tr2bl w:val="nil"/>
                  </w:tcBorders>
                  <w:noWrap w:val="0"/>
                  <w:vAlign w:val="center"/>
                </w:tcPr>
                <w:p w14:paraId="61A1C079">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0.0098</w:t>
                  </w:r>
                </w:p>
              </w:tc>
            </w:tr>
            <w:tr w14:paraId="70100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24F0D2B9">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762" w:type="pct"/>
                  <w:tcBorders>
                    <w:tl2br w:val="nil"/>
                    <w:tr2bl w:val="nil"/>
                  </w:tcBorders>
                  <w:noWrap w:val="0"/>
                  <w:vAlign w:val="center"/>
                </w:tcPr>
                <w:p w14:paraId="2432EB3E">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废真空泵油</w:t>
                  </w:r>
                </w:p>
              </w:tc>
              <w:tc>
                <w:tcPr>
                  <w:tcW w:w="976" w:type="pct"/>
                  <w:tcBorders>
                    <w:tl2br w:val="nil"/>
                    <w:tr2bl w:val="nil"/>
                  </w:tcBorders>
                  <w:noWrap w:val="0"/>
                  <w:vAlign w:val="center"/>
                </w:tcPr>
                <w:p w14:paraId="50826540">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 xml:space="preserve">0.5 </w:t>
                  </w:r>
                </w:p>
              </w:tc>
              <w:tc>
                <w:tcPr>
                  <w:tcW w:w="904" w:type="pct"/>
                  <w:tcBorders>
                    <w:tl2br w:val="nil"/>
                    <w:tr2bl w:val="nil"/>
                  </w:tcBorders>
                  <w:noWrap w:val="0"/>
                  <w:vAlign w:val="center"/>
                </w:tcPr>
                <w:p w14:paraId="3F1247F0">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928" w:type="pct"/>
                  <w:tcBorders>
                    <w:tl2br w:val="nil"/>
                    <w:tr2bl w:val="nil"/>
                  </w:tcBorders>
                  <w:noWrap w:val="0"/>
                  <w:vAlign w:val="center"/>
                </w:tcPr>
                <w:p w14:paraId="2AEC44FB">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w:t>
                  </w:r>
                </w:p>
              </w:tc>
            </w:tr>
            <w:tr w14:paraId="21357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0796E6ED">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762" w:type="pct"/>
                  <w:tcBorders>
                    <w:tl2br w:val="nil"/>
                    <w:tr2bl w:val="nil"/>
                  </w:tcBorders>
                  <w:noWrap w:val="0"/>
                  <w:vAlign w:val="center"/>
                </w:tcPr>
                <w:p w14:paraId="50AF4608">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废润滑油</w:t>
                  </w:r>
                </w:p>
              </w:tc>
              <w:tc>
                <w:tcPr>
                  <w:tcW w:w="976" w:type="pct"/>
                  <w:tcBorders>
                    <w:tl2br w:val="nil"/>
                    <w:tr2bl w:val="nil"/>
                  </w:tcBorders>
                  <w:noWrap w:val="0"/>
                  <w:vAlign w:val="center"/>
                </w:tcPr>
                <w:p w14:paraId="4E2714DB">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0.01</w:t>
                  </w:r>
                </w:p>
              </w:tc>
              <w:tc>
                <w:tcPr>
                  <w:tcW w:w="904" w:type="pct"/>
                  <w:tcBorders>
                    <w:tl2br w:val="nil"/>
                    <w:tr2bl w:val="nil"/>
                  </w:tcBorders>
                  <w:noWrap w:val="0"/>
                  <w:vAlign w:val="center"/>
                </w:tcPr>
                <w:p w14:paraId="343E92CE">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928" w:type="pct"/>
                  <w:tcBorders>
                    <w:tl2br w:val="nil"/>
                    <w:tr2bl w:val="nil"/>
                  </w:tcBorders>
                  <w:noWrap w:val="0"/>
                  <w:vAlign w:val="center"/>
                </w:tcPr>
                <w:p w14:paraId="028C89CC">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0.0002</w:t>
                  </w:r>
                </w:p>
              </w:tc>
            </w:tr>
            <w:tr w14:paraId="2BE0E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2C5DDC28">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762" w:type="pct"/>
                  <w:tcBorders>
                    <w:tl2br w:val="nil"/>
                    <w:tr2bl w:val="nil"/>
                  </w:tcBorders>
                  <w:noWrap w:val="0"/>
                  <w:vAlign w:val="center"/>
                </w:tcPr>
                <w:p w14:paraId="4876F07B">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废切削液</w:t>
                  </w:r>
                </w:p>
              </w:tc>
              <w:tc>
                <w:tcPr>
                  <w:tcW w:w="976" w:type="pct"/>
                  <w:tcBorders>
                    <w:tl2br w:val="nil"/>
                    <w:tr2bl w:val="nil"/>
                  </w:tcBorders>
                  <w:noWrap w:val="0"/>
                  <w:vAlign w:val="center"/>
                </w:tcPr>
                <w:p w14:paraId="6EF616DE">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sz w:val="21"/>
                      <w:szCs w:val="21"/>
                      <w:highlight w:val="none"/>
                      <w:u w:val="none"/>
                      <w:lang w:val="en-US" w:eastAsia="zh-CN"/>
                    </w:rPr>
                    <w:t>1.0</w:t>
                  </w:r>
                </w:p>
              </w:tc>
              <w:tc>
                <w:tcPr>
                  <w:tcW w:w="904" w:type="pct"/>
                  <w:tcBorders>
                    <w:tl2br w:val="nil"/>
                    <w:tr2bl w:val="nil"/>
                  </w:tcBorders>
                  <w:noWrap w:val="0"/>
                  <w:vAlign w:val="center"/>
                </w:tcPr>
                <w:p w14:paraId="235CF601">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928" w:type="pct"/>
                  <w:tcBorders>
                    <w:tl2br w:val="nil"/>
                    <w:tr2bl w:val="nil"/>
                  </w:tcBorders>
                  <w:noWrap w:val="0"/>
                  <w:vAlign w:val="center"/>
                </w:tcPr>
                <w:p w14:paraId="4DC1D6DA">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w:t>
                  </w:r>
                </w:p>
              </w:tc>
            </w:tr>
            <w:tr w14:paraId="23132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1604AD87">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762" w:type="pct"/>
                  <w:tcBorders>
                    <w:tl2br w:val="nil"/>
                    <w:tr2bl w:val="nil"/>
                  </w:tcBorders>
                  <w:noWrap w:val="0"/>
                  <w:vAlign w:val="center"/>
                </w:tcPr>
                <w:p w14:paraId="32DE4E26">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样品废液</w:t>
                  </w:r>
                </w:p>
              </w:tc>
              <w:tc>
                <w:tcPr>
                  <w:tcW w:w="976" w:type="pct"/>
                  <w:tcBorders>
                    <w:tl2br w:val="nil"/>
                    <w:tr2bl w:val="nil"/>
                  </w:tcBorders>
                  <w:noWrap w:val="0"/>
                  <w:vAlign w:val="center"/>
                </w:tcPr>
                <w:p w14:paraId="3DCCF7AC">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bottom"/>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w:t>
                  </w:r>
                </w:p>
              </w:tc>
              <w:tc>
                <w:tcPr>
                  <w:tcW w:w="904" w:type="pct"/>
                  <w:tcBorders>
                    <w:tl2br w:val="nil"/>
                    <w:tr2bl w:val="nil"/>
                  </w:tcBorders>
                  <w:noWrap w:val="0"/>
                  <w:vAlign w:val="center"/>
                </w:tcPr>
                <w:p w14:paraId="5A376585">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928" w:type="pct"/>
                  <w:tcBorders>
                    <w:tl2br w:val="nil"/>
                    <w:tr2bl w:val="nil"/>
                  </w:tcBorders>
                  <w:noWrap w:val="0"/>
                  <w:vAlign w:val="center"/>
                </w:tcPr>
                <w:p w14:paraId="68D8BFDC">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0.008</w:t>
                  </w:r>
                </w:p>
              </w:tc>
            </w:tr>
            <w:tr w14:paraId="01810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38B7C0A8">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762" w:type="pct"/>
                  <w:tcBorders>
                    <w:tl2br w:val="nil"/>
                    <w:tr2bl w:val="nil"/>
                  </w:tcBorders>
                  <w:noWrap w:val="0"/>
                  <w:vAlign w:val="center"/>
                </w:tcPr>
                <w:p w14:paraId="62F17ADC">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实验器皿清洗废水</w:t>
                  </w:r>
                </w:p>
              </w:tc>
              <w:tc>
                <w:tcPr>
                  <w:tcW w:w="976" w:type="pct"/>
                  <w:tcBorders>
                    <w:tl2br w:val="nil"/>
                    <w:tr2bl w:val="nil"/>
                  </w:tcBorders>
                  <w:noWrap w:val="0"/>
                  <w:vAlign w:val="center"/>
                </w:tcPr>
                <w:p w14:paraId="10F89D27">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bottom"/>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904" w:type="pct"/>
                  <w:tcBorders>
                    <w:tl2br w:val="nil"/>
                    <w:tr2bl w:val="nil"/>
                  </w:tcBorders>
                  <w:noWrap w:val="0"/>
                  <w:vAlign w:val="center"/>
                </w:tcPr>
                <w:p w14:paraId="3CC26C51">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928" w:type="pct"/>
                  <w:tcBorders>
                    <w:tl2br w:val="nil"/>
                    <w:tr2bl w:val="nil"/>
                  </w:tcBorders>
                  <w:noWrap w:val="0"/>
                  <w:vAlign w:val="center"/>
                </w:tcPr>
                <w:p w14:paraId="451FC7F8">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w:t>
                  </w:r>
                </w:p>
              </w:tc>
            </w:tr>
            <w:tr w14:paraId="3FA8C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503B63E9">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762" w:type="pct"/>
                  <w:tcBorders>
                    <w:tl2br w:val="nil"/>
                    <w:tr2bl w:val="nil"/>
                  </w:tcBorders>
                  <w:noWrap w:val="0"/>
                  <w:vAlign w:val="center"/>
                </w:tcPr>
                <w:p w14:paraId="37C14441">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乙醚清洗废液</w:t>
                  </w:r>
                </w:p>
              </w:tc>
              <w:tc>
                <w:tcPr>
                  <w:tcW w:w="976" w:type="pct"/>
                  <w:tcBorders>
                    <w:tl2br w:val="nil"/>
                    <w:tr2bl w:val="nil"/>
                  </w:tcBorders>
                  <w:noWrap w:val="0"/>
                  <w:vAlign w:val="center"/>
                </w:tcPr>
                <w:p w14:paraId="36F0093B">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bottom"/>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0.002</w:t>
                  </w:r>
                </w:p>
              </w:tc>
              <w:tc>
                <w:tcPr>
                  <w:tcW w:w="904" w:type="pct"/>
                  <w:tcBorders>
                    <w:tl2br w:val="nil"/>
                    <w:tr2bl w:val="nil"/>
                  </w:tcBorders>
                  <w:noWrap w:val="0"/>
                  <w:vAlign w:val="center"/>
                </w:tcPr>
                <w:p w14:paraId="362D1CFC">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928" w:type="pct"/>
                  <w:tcBorders>
                    <w:tl2br w:val="nil"/>
                    <w:tr2bl w:val="nil"/>
                  </w:tcBorders>
                  <w:noWrap w:val="0"/>
                  <w:vAlign w:val="center"/>
                </w:tcPr>
                <w:p w14:paraId="1B8F8BD7">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0.00004</w:t>
                  </w:r>
                </w:p>
              </w:tc>
            </w:tr>
            <w:tr w14:paraId="6A129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79D22A43">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762" w:type="pct"/>
                  <w:tcBorders>
                    <w:tl2br w:val="nil"/>
                    <w:tr2bl w:val="nil"/>
                  </w:tcBorders>
                  <w:noWrap w:val="0"/>
                  <w:vAlign w:val="center"/>
                </w:tcPr>
                <w:p w14:paraId="178CDE1B">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乙醚</w:t>
                  </w:r>
                </w:p>
              </w:tc>
              <w:tc>
                <w:tcPr>
                  <w:tcW w:w="976" w:type="pct"/>
                  <w:tcBorders>
                    <w:tl2br w:val="nil"/>
                    <w:tr2bl w:val="nil"/>
                  </w:tcBorders>
                  <w:noWrap w:val="0"/>
                  <w:vAlign w:val="center"/>
                </w:tcPr>
                <w:p w14:paraId="08B97CA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0.0007</w:t>
                  </w:r>
                </w:p>
              </w:tc>
              <w:tc>
                <w:tcPr>
                  <w:tcW w:w="904" w:type="pct"/>
                  <w:tcBorders>
                    <w:tl2br w:val="nil"/>
                    <w:tr2bl w:val="nil"/>
                  </w:tcBorders>
                  <w:noWrap w:val="0"/>
                  <w:vAlign w:val="center"/>
                </w:tcPr>
                <w:p w14:paraId="6A1B04C2">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928" w:type="pct"/>
                  <w:tcBorders>
                    <w:tl2br w:val="nil"/>
                    <w:tr2bl w:val="nil"/>
                  </w:tcBorders>
                  <w:noWrap w:val="0"/>
                  <w:vAlign w:val="center"/>
                </w:tcPr>
                <w:p w14:paraId="5AFAC8B9">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0.00007</w:t>
                  </w:r>
                </w:p>
              </w:tc>
            </w:tr>
            <w:tr w14:paraId="1161D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31C24E9C">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1762" w:type="pct"/>
                  <w:tcBorders>
                    <w:tl2br w:val="nil"/>
                    <w:tr2bl w:val="nil"/>
                  </w:tcBorders>
                  <w:noWrap w:val="0"/>
                  <w:vAlign w:val="center"/>
                </w:tcPr>
                <w:p w14:paraId="0DE345DC">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盐酸</w:t>
                  </w:r>
                </w:p>
              </w:tc>
              <w:tc>
                <w:tcPr>
                  <w:tcW w:w="976" w:type="pct"/>
                  <w:tcBorders>
                    <w:tl2br w:val="nil"/>
                    <w:tr2bl w:val="nil"/>
                  </w:tcBorders>
                  <w:noWrap w:val="0"/>
                  <w:vAlign w:val="center"/>
                </w:tcPr>
                <w:p w14:paraId="79E5689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0.024</w:t>
                  </w:r>
                </w:p>
              </w:tc>
              <w:tc>
                <w:tcPr>
                  <w:tcW w:w="904" w:type="pct"/>
                  <w:tcBorders>
                    <w:tl2br w:val="nil"/>
                    <w:tr2bl w:val="nil"/>
                  </w:tcBorders>
                  <w:noWrap w:val="0"/>
                  <w:vAlign w:val="center"/>
                </w:tcPr>
                <w:p w14:paraId="281C0E0F">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w:t>
                  </w:r>
                </w:p>
              </w:tc>
              <w:tc>
                <w:tcPr>
                  <w:tcW w:w="928" w:type="pct"/>
                  <w:tcBorders>
                    <w:tl2br w:val="nil"/>
                    <w:tr2bl w:val="nil"/>
                  </w:tcBorders>
                  <w:noWrap w:val="0"/>
                  <w:vAlign w:val="center"/>
                </w:tcPr>
                <w:p w14:paraId="161561D4">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0.0032</w:t>
                  </w:r>
                </w:p>
              </w:tc>
            </w:tr>
            <w:tr w14:paraId="75EFB7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4F91EA4C">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1762" w:type="pct"/>
                  <w:tcBorders>
                    <w:tl2br w:val="nil"/>
                    <w:tr2bl w:val="nil"/>
                  </w:tcBorders>
                  <w:noWrap w:val="0"/>
                  <w:vAlign w:val="center"/>
                </w:tcPr>
                <w:p w14:paraId="5D951646">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硫酸</w:t>
                  </w:r>
                </w:p>
              </w:tc>
              <w:tc>
                <w:tcPr>
                  <w:tcW w:w="976" w:type="pct"/>
                  <w:tcBorders>
                    <w:tl2br w:val="nil"/>
                    <w:tr2bl w:val="nil"/>
                  </w:tcBorders>
                  <w:noWrap w:val="0"/>
                  <w:vAlign w:val="center"/>
                </w:tcPr>
                <w:p w14:paraId="707F691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0.0368</w:t>
                  </w:r>
                </w:p>
              </w:tc>
              <w:tc>
                <w:tcPr>
                  <w:tcW w:w="904" w:type="pct"/>
                  <w:tcBorders>
                    <w:tl2br w:val="nil"/>
                    <w:tr2bl w:val="nil"/>
                  </w:tcBorders>
                  <w:noWrap w:val="0"/>
                  <w:vAlign w:val="center"/>
                </w:tcPr>
                <w:p w14:paraId="2CF8461F">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928" w:type="pct"/>
                  <w:tcBorders>
                    <w:tl2br w:val="nil"/>
                    <w:tr2bl w:val="nil"/>
                  </w:tcBorders>
                  <w:noWrap w:val="0"/>
                  <w:vAlign w:val="center"/>
                </w:tcPr>
                <w:p w14:paraId="7D62854A">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0.00368</w:t>
                  </w:r>
                </w:p>
              </w:tc>
            </w:tr>
            <w:tr w14:paraId="591CC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47226C11">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762" w:type="pct"/>
                  <w:tcBorders>
                    <w:tl2br w:val="nil"/>
                    <w:tr2bl w:val="nil"/>
                  </w:tcBorders>
                  <w:noWrap w:val="0"/>
                  <w:vAlign w:val="center"/>
                </w:tcPr>
                <w:p w14:paraId="485C4934">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硝酸</w:t>
                  </w:r>
                </w:p>
              </w:tc>
              <w:tc>
                <w:tcPr>
                  <w:tcW w:w="976" w:type="pct"/>
                  <w:tcBorders>
                    <w:tl2br w:val="nil"/>
                    <w:tr2bl w:val="nil"/>
                  </w:tcBorders>
                  <w:noWrap w:val="0"/>
                  <w:vAlign w:val="center"/>
                </w:tcPr>
                <w:p w14:paraId="5E2D7FF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0.03</w:t>
                  </w:r>
                </w:p>
              </w:tc>
              <w:tc>
                <w:tcPr>
                  <w:tcW w:w="904" w:type="pct"/>
                  <w:tcBorders>
                    <w:tl2br w:val="nil"/>
                    <w:tr2bl w:val="nil"/>
                  </w:tcBorders>
                  <w:noWrap w:val="0"/>
                  <w:vAlign w:val="center"/>
                </w:tcPr>
                <w:p w14:paraId="2E8D945E">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w:t>
                  </w:r>
                </w:p>
              </w:tc>
              <w:tc>
                <w:tcPr>
                  <w:tcW w:w="928" w:type="pct"/>
                  <w:tcBorders>
                    <w:tl2br w:val="nil"/>
                    <w:tr2bl w:val="nil"/>
                  </w:tcBorders>
                  <w:noWrap w:val="0"/>
                  <w:vAlign w:val="center"/>
                </w:tcPr>
                <w:p w14:paraId="58550912">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0.004</w:t>
                  </w:r>
                </w:p>
              </w:tc>
            </w:tr>
            <w:tr w14:paraId="079CE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4556009F">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762" w:type="pct"/>
                  <w:tcBorders>
                    <w:tl2br w:val="nil"/>
                    <w:tr2bl w:val="nil"/>
                  </w:tcBorders>
                  <w:noWrap w:val="0"/>
                  <w:vAlign w:val="center"/>
                </w:tcPr>
                <w:p w14:paraId="6812650B">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磷酸</w:t>
                  </w:r>
                </w:p>
              </w:tc>
              <w:tc>
                <w:tcPr>
                  <w:tcW w:w="976" w:type="pct"/>
                  <w:tcBorders>
                    <w:tl2br w:val="nil"/>
                    <w:tr2bl w:val="nil"/>
                  </w:tcBorders>
                  <w:noWrap w:val="0"/>
                  <w:vAlign w:val="center"/>
                </w:tcPr>
                <w:p w14:paraId="026D5E2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0.0019</w:t>
                  </w:r>
                </w:p>
              </w:tc>
              <w:tc>
                <w:tcPr>
                  <w:tcW w:w="904" w:type="pct"/>
                  <w:tcBorders>
                    <w:tl2br w:val="nil"/>
                    <w:tr2bl w:val="nil"/>
                  </w:tcBorders>
                  <w:noWrap w:val="0"/>
                  <w:vAlign w:val="center"/>
                </w:tcPr>
                <w:p w14:paraId="2A9AECF9">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928" w:type="pct"/>
                  <w:tcBorders>
                    <w:tl2br w:val="nil"/>
                    <w:tr2bl w:val="nil"/>
                  </w:tcBorders>
                  <w:noWrap w:val="0"/>
                  <w:vAlign w:val="center"/>
                </w:tcPr>
                <w:p w14:paraId="29DCEC3F">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0.00019</w:t>
                  </w:r>
                </w:p>
              </w:tc>
            </w:tr>
            <w:tr w14:paraId="50062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8" w:type="pct"/>
                  <w:tcBorders>
                    <w:tl2br w:val="nil"/>
                    <w:tr2bl w:val="nil"/>
                  </w:tcBorders>
                  <w:noWrap w:val="0"/>
                  <w:vAlign w:val="center"/>
                </w:tcPr>
                <w:p w14:paraId="33D1F80C">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1762" w:type="pct"/>
                  <w:tcBorders>
                    <w:tl2br w:val="nil"/>
                    <w:tr2bl w:val="nil"/>
                  </w:tcBorders>
                  <w:noWrap w:val="0"/>
                  <w:vAlign w:val="center"/>
                </w:tcPr>
                <w:p w14:paraId="06C6C066">
                  <w:pPr>
                    <w:keepNext w:val="0"/>
                    <w:keepLines w:val="0"/>
                    <w:widowControl/>
                    <w:suppressLineNumbers w:val="0"/>
                    <w:spacing w:before="0" w:beforeAutospacing="0" w:after="0" w:afterAutospacing="0"/>
                    <w:ind w:left="0" w:right="0"/>
                    <w:jc w:val="center"/>
                    <w:textAlignment w:val="center"/>
                    <w:rPr>
                      <w:rFonts w:hint="eastAsia" w:ascii="Times New Roman"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氢氟酸</w:t>
                  </w:r>
                </w:p>
              </w:tc>
              <w:tc>
                <w:tcPr>
                  <w:tcW w:w="976" w:type="pct"/>
                  <w:tcBorders>
                    <w:tl2br w:val="nil"/>
                    <w:tr2bl w:val="nil"/>
                  </w:tcBorders>
                  <w:noWrap w:val="0"/>
                  <w:vAlign w:val="center"/>
                </w:tcPr>
                <w:p w14:paraId="4DF5092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i w:val="0"/>
                      <w:iCs w:val="0"/>
                      <w:color w:val="auto"/>
                      <w:kern w:val="0"/>
                      <w:sz w:val="21"/>
                      <w:szCs w:val="21"/>
                      <w:highlight w:val="none"/>
                      <w:u w:val="none"/>
                      <w:lang w:val="en-US" w:eastAsia="zh-CN" w:bidi="ar"/>
                    </w:rPr>
                  </w:pP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0.0012</w:t>
                  </w:r>
                </w:p>
              </w:tc>
              <w:tc>
                <w:tcPr>
                  <w:tcW w:w="904" w:type="pct"/>
                  <w:tcBorders>
                    <w:tl2br w:val="nil"/>
                    <w:tr2bl w:val="nil"/>
                  </w:tcBorders>
                  <w:noWrap w:val="0"/>
                  <w:vAlign w:val="center"/>
                </w:tcPr>
                <w:p w14:paraId="136520B9">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928" w:type="pct"/>
                  <w:tcBorders>
                    <w:tl2br w:val="nil"/>
                    <w:tr2bl w:val="nil"/>
                  </w:tcBorders>
                  <w:noWrap w:val="0"/>
                  <w:vAlign w:val="center"/>
                </w:tcPr>
                <w:p w14:paraId="517B9CDD">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0.0012</w:t>
                  </w:r>
                </w:p>
              </w:tc>
            </w:tr>
            <w:tr w14:paraId="00F76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071" w:type="pct"/>
                  <w:gridSpan w:val="4"/>
                  <w:tcBorders>
                    <w:tl2br w:val="nil"/>
                    <w:tr2bl w:val="nil"/>
                  </w:tcBorders>
                  <w:noWrap w:val="0"/>
                  <w:vAlign w:val="center"/>
                </w:tcPr>
                <w:p w14:paraId="2142AEE6">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合计</w:t>
                  </w:r>
                </w:p>
              </w:tc>
              <w:tc>
                <w:tcPr>
                  <w:tcW w:w="928" w:type="pct"/>
                  <w:tcBorders>
                    <w:tl2br w:val="nil"/>
                    <w:tr2bl w:val="nil"/>
                  </w:tcBorders>
                  <w:shd w:val="clear" w:color="auto" w:fill="auto"/>
                  <w:noWrap w:val="0"/>
                  <w:vAlign w:val="center"/>
                </w:tcPr>
                <w:p w14:paraId="433F53A2">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0.161802</w:t>
                  </w:r>
                </w:p>
              </w:tc>
            </w:tr>
          </w:tbl>
          <w:p w14:paraId="5E39CE2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default" w:ascii="Times New Roman" w:hAnsi="Times New Roman" w:eastAsia="宋体" w:cs="Times New Roman"/>
                <w:color w:val="auto"/>
                <w:sz w:val="24"/>
                <w:szCs w:val="24"/>
                <w:highlight w:val="none"/>
                <w:lang w:val="en-US" w:eastAsia="zh-CN"/>
              </w:rPr>
            </w:pPr>
            <w:r>
              <w:rPr>
                <w:rFonts w:hint="default"/>
                <w:color w:val="auto"/>
                <w:sz w:val="24"/>
                <w:highlight w:val="none"/>
              </w:rPr>
              <w:t>本项</w:t>
            </w:r>
            <w:r>
              <w:rPr>
                <w:rFonts w:hint="default" w:ascii="Times New Roman" w:hAnsi="Times New Roman" w:eastAsia="宋体" w:cs="Times New Roman"/>
                <w:color w:val="auto"/>
                <w:sz w:val="24"/>
                <w:highlight w:val="none"/>
              </w:rPr>
              <w:t>目Q=</w:t>
            </w:r>
            <w:r>
              <w:rPr>
                <w:rFonts w:hint="eastAsia" w:ascii="Times New Roman" w:hAnsi="Times New Roman" w:eastAsia="宋体" w:cs="Times New Roman"/>
                <w:color w:val="auto"/>
                <w:sz w:val="24"/>
                <w:highlight w:val="none"/>
                <w:lang w:val="en-US" w:eastAsia="zh-CN"/>
              </w:rPr>
              <w:t>0.161802</w:t>
            </w:r>
            <w:r>
              <w:rPr>
                <w:rFonts w:hint="default" w:ascii="Times New Roman" w:hAnsi="Times New Roman" w:eastAsia="宋体" w:cs="Times New Roman"/>
                <w:color w:val="auto"/>
                <w:sz w:val="24"/>
                <w:highlight w:val="none"/>
              </w:rPr>
              <w:t>＜1</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根据《建设项目环境风险评价技术导则》（HJ169-2018）附录C，当Q＜1时，该项目环境风险潜势为</w:t>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1 \* ROMAN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I</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按照附录A环境风险仅需进行简单分析即可。</w:t>
            </w:r>
          </w:p>
          <w:p w14:paraId="3D2A0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风险事故分析</w:t>
            </w:r>
          </w:p>
          <w:p w14:paraId="4D2CE176">
            <w:pPr>
              <w:pStyle w:val="79"/>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本项目建成可能影响环境的途径包括以下几个方面：</w:t>
            </w:r>
          </w:p>
          <w:p w14:paraId="6C73D508">
            <w:pPr>
              <w:pStyle w:val="79"/>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①贮存区因人力因素或包装容器老化等，发生破损泄漏，废</w:t>
            </w:r>
            <w:r>
              <w:rPr>
                <w:rFonts w:hint="eastAsia" w:cs="Times New Roman"/>
                <w:color w:val="auto"/>
                <w:sz w:val="24"/>
                <w:szCs w:val="24"/>
                <w:highlight w:val="none"/>
                <w:lang w:eastAsia="zh-CN"/>
              </w:rPr>
              <w:t>机油</w:t>
            </w:r>
            <w:r>
              <w:rPr>
                <w:rFonts w:hint="default" w:ascii="Times New Roman" w:hAnsi="Times New Roman" w:eastAsia="宋体" w:cs="Times New Roman"/>
                <w:color w:val="auto"/>
                <w:sz w:val="24"/>
                <w:szCs w:val="24"/>
                <w:highlight w:val="none"/>
              </w:rPr>
              <w:t>会泄漏到地面，此时若车间地面建设达不到重点防渗标准的要求，有可能渗入地下，污染地下水和土壤。</w:t>
            </w:r>
          </w:p>
          <w:p w14:paraId="5222FC7C">
            <w:pPr>
              <w:pStyle w:val="79"/>
              <w:keepNext w:val="0"/>
              <w:keepLines w:val="0"/>
              <w:suppressLineNumbers w:val="0"/>
              <w:spacing w:before="0" w:beforeAutospacing="0" w:after="0" w:afterAutospacing="0"/>
              <w:ind w:left="0" w:right="0" w:firstLine="48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②化学品在储存和使用过程中可能导致液体逸散、洒落、倾倒，如果储存或实验过程中操作不当，可能会引起土壤、地下水等风险事故；部分化学品靠近热源易着火，遇到明火可导致火灾发生。此外危废贮存库内存放的危废废物也会带来环境风险。</w:t>
            </w:r>
          </w:p>
          <w:p w14:paraId="0743E435">
            <w:pPr>
              <w:pStyle w:val="79"/>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lang w:eastAsia="zh-CN"/>
              </w:rPr>
            </w:pPr>
            <w:r>
              <w:rPr>
                <w:rFonts w:hint="eastAsia"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若厂内不幸发生火灾时，主要气态伴生/次生危害物质为废</w:t>
            </w:r>
            <w:r>
              <w:rPr>
                <w:rFonts w:hint="eastAsia" w:cs="Times New Roman"/>
                <w:color w:val="auto"/>
                <w:sz w:val="24"/>
                <w:szCs w:val="24"/>
                <w:highlight w:val="none"/>
                <w:lang w:val="en-US" w:eastAsia="zh-CN"/>
              </w:rPr>
              <w:t>油类物质等</w:t>
            </w:r>
            <w:r>
              <w:rPr>
                <w:rFonts w:hint="default" w:ascii="Times New Roman" w:hAnsi="Times New Roman" w:eastAsia="宋体" w:cs="Times New Roman"/>
                <w:color w:val="auto"/>
                <w:sz w:val="24"/>
                <w:szCs w:val="24"/>
                <w:highlight w:val="none"/>
              </w:rPr>
              <w:t>燃烧、不完全燃烧所产生的 CO、SO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 xml:space="preserve"> 等有毒有害烟气及飞灰等，对大气环境造成污染。灭火过程会产生大量的消防废水，若未有效收集造成消防水沿地面肆意蔓延，则会造成地表水、土壤和地下水污染。</w:t>
            </w:r>
          </w:p>
          <w:p w14:paraId="317983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风险事故防范措施</w:t>
            </w:r>
            <w:r>
              <w:rPr>
                <w:rFonts w:hint="default" w:ascii="Times New Roman" w:hAnsi="Times New Roman" w:eastAsia="宋体" w:cs="Times New Roman"/>
                <w:color w:val="auto"/>
                <w:sz w:val="24"/>
                <w:szCs w:val="24"/>
                <w:highlight w:val="none"/>
                <w:lang w:val="en-US" w:eastAsia="zh-CN"/>
              </w:rPr>
              <w:t>及应急要求</w:t>
            </w:r>
          </w:p>
          <w:p w14:paraId="21A82050">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color w:val="auto"/>
                <w:sz w:val="24"/>
                <w:highlight w:val="none"/>
                <w:lang w:eastAsia="zh-CN"/>
              </w:rPr>
            </w:pPr>
            <w:r>
              <w:rPr>
                <w:rFonts w:hint="default"/>
                <w:color w:val="auto"/>
                <w:sz w:val="24"/>
                <w:highlight w:val="none"/>
              </w:rPr>
              <w:t>危险化学试剂的使用要备案登记，明确试剂的使用量、使用时间、使用人、用途等</w:t>
            </w:r>
            <w:r>
              <w:rPr>
                <w:rFonts w:hint="eastAsia"/>
                <w:color w:val="auto"/>
                <w:sz w:val="24"/>
                <w:highlight w:val="none"/>
                <w:lang w:eastAsia="zh-CN"/>
              </w:rPr>
              <w:t>。</w:t>
            </w:r>
          </w:p>
          <w:p w14:paraId="0AD1F9AA">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化学试剂在专业生产厂家购买，由厂家派专用车辆负责运送。用于危险化学品运输的工具及容器，必须经检测、检验合格，方可使用。输送有毒有害物料，应采取防止泄漏、渗漏的措施。</w:t>
            </w:r>
          </w:p>
          <w:p w14:paraId="778195D5">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eastAsia="宋体"/>
                <w:color w:val="auto"/>
                <w:sz w:val="24"/>
                <w:highlight w:val="none"/>
                <w:lang w:val="en-US" w:eastAsia="zh-CN"/>
              </w:rPr>
            </w:pPr>
            <w:r>
              <w:rPr>
                <w:rFonts w:hint="eastAsia"/>
                <w:color w:val="auto"/>
                <w:sz w:val="24"/>
                <w:highlight w:val="none"/>
              </w:rPr>
              <w:t>化学试剂须严格按其性质如剧毒、易燃、易挥发、强腐蚀品等和贮存要求分类存放，并控制化学试剂贮存量。化学试剂贮藏于专用</w:t>
            </w:r>
            <w:r>
              <w:rPr>
                <w:rFonts w:hint="eastAsia"/>
                <w:color w:val="auto"/>
                <w:sz w:val="24"/>
                <w:highlight w:val="none"/>
                <w:lang w:val="en-US" w:eastAsia="zh-CN"/>
              </w:rPr>
              <w:t>储存柜内</w:t>
            </w:r>
            <w:r>
              <w:rPr>
                <w:rFonts w:hint="eastAsia"/>
                <w:color w:val="auto"/>
                <w:sz w:val="24"/>
                <w:highlight w:val="none"/>
              </w:rPr>
              <w:t>，由专人保管，试剂存放处应通风、阴凉、避光，室内严禁明火，消防灭火设施器材完备。盛放化学试剂的贮存柜需用防尘、耐腐蚀、避光的材料制成</w:t>
            </w:r>
            <w:r>
              <w:rPr>
                <w:rFonts w:hint="eastAsia"/>
                <w:color w:val="auto"/>
                <w:sz w:val="24"/>
                <w:highlight w:val="none"/>
                <w:lang w:eastAsia="zh-CN"/>
              </w:rPr>
              <w:t>。</w:t>
            </w:r>
          </w:p>
          <w:p w14:paraId="783B901F">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危废贮存库保证不相容的危险废物分区暂存，各区域互不干扰，不相容的危废禁止混合堆存，便于管理。</w:t>
            </w:r>
          </w:p>
          <w:p w14:paraId="430FC426">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其中固态类危险废物除废含油</w:t>
            </w:r>
            <w:r>
              <w:rPr>
                <w:rFonts w:hint="eastAsia" w:cs="Times New Roman"/>
                <w:color w:val="auto"/>
                <w:sz w:val="24"/>
                <w:szCs w:val="24"/>
                <w:highlight w:val="none"/>
                <w:lang w:val="en-US" w:eastAsia="zh-CN"/>
              </w:rPr>
              <w:t>抹布及</w:t>
            </w:r>
            <w:r>
              <w:rPr>
                <w:rFonts w:hint="default" w:ascii="Times New Roman" w:hAnsi="Times New Roman" w:eastAsia="宋体" w:cs="Times New Roman"/>
                <w:color w:val="auto"/>
                <w:sz w:val="24"/>
                <w:szCs w:val="24"/>
                <w:highlight w:val="none"/>
                <w:lang w:val="en-US" w:eastAsia="zh-CN"/>
              </w:rPr>
              <w:t>手套采用箱装。包装容器的收集、储存，存储区设有围堰（裙角），并有防腐、防渗、硬化处理。针对危险废物的特性、数量，严格按照《危险废物贮存污染控制标准》（GB18597-2023）和《危险废物收集、贮存、运输技术规范》（HJ2025-2012）要求，做好暂存区风险事故防范工作。</w:t>
            </w:r>
          </w:p>
          <w:p w14:paraId="74F16E6E">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①存储区与裙角采取防渗、防腐、硬化措施，防渗层采用三布五油玻璃钢防腐，即三层玻璃纤维布、五层树脂（环氧树脂等）复合而成的玻璃钢防腐衬层。</w:t>
            </w:r>
          </w:p>
          <w:p w14:paraId="3BCFF98D">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②存放液态危废的存放区设置有导流槽，连接收集池。发生泄漏时，收集池能够容纳泄漏液体。围堰、收集池、导流槽均采取防渗、防腐措施。</w:t>
            </w:r>
          </w:p>
          <w:p w14:paraId="5EE4A4E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③贮存车间应远离火种、热源，</w:t>
            </w:r>
            <w:r>
              <w:rPr>
                <w:rFonts w:hint="default" w:ascii="Times New Roman" w:hAnsi="Times New Roman" w:eastAsia="宋体" w:cs="Times New Roman"/>
                <w:bCs/>
                <w:color w:val="auto"/>
                <w:kern w:val="0"/>
                <w:sz w:val="24"/>
                <w:szCs w:val="24"/>
                <w:highlight w:val="none"/>
              </w:rPr>
              <w:t>配备干粉灭火器、消防砂、消防铲、消防栓等消防设施。</w:t>
            </w:r>
          </w:p>
          <w:p w14:paraId="1B3B06C9">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④发生危险废物泄漏等异常情况时，岗位操作人员应及时向负责人汇报，相关负责人到场，并组成临时指挥组和抢险指挥组，指挥抢险工作。及时向有关部门汇报。</w:t>
            </w:r>
          </w:p>
          <w:p w14:paraId="49705E46">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⑤对事故隐患存在点要进行定期的检查，及时排除，避免发生。</w:t>
            </w:r>
          </w:p>
          <w:p w14:paraId="2D62EFCC">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⑥各种固废在场内按指定区域分别堆存，并做好标识，洒落的固体危险废物及时回收，并清扫干净。</w:t>
            </w:r>
          </w:p>
          <w:p w14:paraId="5862412D">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⑦各种危险废物均不得和能与其化学反应的物品混存共运。</w:t>
            </w:r>
          </w:p>
          <w:p w14:paraId="6721ED73">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⑧库房配备必要的消防、通风、降温、防潮、防雷等安全设备。库房配备固定式可燃气体监测报警系统，并设置火灾自动报警系统，一旦发生火灾能够及时采取措施。</w:t>
            </w:r>
          </w:p>
          <w:p w14:paraId="628FDE3E">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⑨发生次生/伴生污染事故时事故救援过程中产生的消防废水应引入园区事故池暂时收集，再分批送至有相应资质的单位处置；其他废灭火剂、拦截、堵漏材料等在事故排放后统一收集，并根据性质作为本项目危险废物暂存或送有相应资质单位进行处理。</w:t>
            </w:r>
          </w:p>
          <w:p w14:paraId="40C69AAC">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⑩</w:t>
            </w:r>
            <w:r>
              <w:rPr>
                <w:rFonts w:hint="default" w:ascii="Times New Roman" w:hAnsi="Times New Roman" w:eastAsia="宋体" w:cs="Times New Roman"/>
                <w:bCs/>
                <w:color w:val="auto"/>
                <w:sz w:val="24"/>
                <w:szCs w:val="24"/>
                <w:highlight w:val="none"/>
                <w:lang w:val="en-US" w:eastAsia="zh-CN"/>
              </w:rPr>
              <w:t>针对项目可能造成环境风险事故，本次评价建议企业编制突发环境事件应急预案，保证企业做好事故防范措施和处置预案，将事故时对环境的污染程度减小到最低。</w:t>
            </w:r>
          </w:p>
          <w:p w14:paraId="65E72B70">
            <w:pPr>
              <w:keepNext w:val="0"/>
              <w:keepLines w:val="0"/>
              <w:widowControl w:val="0"/>
              <w:numPr>
                <w:ilvl w:val="0"/>
                <w:numId w:val="0"/>
              </w:numPr>
              <w:suppressLineNumbers w:val="0"/>
              <w:adjustRightInd w:val="0"/>
              <w:snapToGrid w:val="0"/>
              <w:spacing w:before="0" w:beforeAutospacing="0" w:after="0" w:afterAutospacing="0" w:line="240" w:lineRule="auto"/>
              <w:ind w:left="1395" w:leftChars="0" w:right="0"/>
              <w:jc w:val="center"/>
              <w:textAlignment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表4-</w:t>
            </w:r>
            <w:r>
              <w:rPr>
                <w:rFonts w:hint="eastAsia" w:cs="Times New Roman"/>
                <w:b/>
                <w:bCs/>
                <w:color w:val="auto"/>
                <w:kern w:val="0"/>
                <w:sz w:val="21"/>
                <w:szCs w:val="21"/>
                <w:highlight w:val="none"/>
                <w:lang w:val="en-US" w:eastAsia="zh-CN" w:bidi="ar-SA"/>
              </w:rPr>
              <w:t>14</w:t>
            </w:r>
            <w:r>
              <w:rPr>
                <w:rFonts w:hint="default" w:ascii="Times New Roman" w:hAnsi="Times New Roman" w:eastAsia="宋体" w:cs="Times New Roman"/>
                <w:b/>
                <w:bCs/>
                <w:color w:val="auto"/>
                <w:kern w:val="0"/>
                <w:sz w:val="21"/>
                <w:szCs w:val="21"/>
                <w:highlight w:val="none"/>
                <w:lang w:val="en-US" w:eastAsia="zh-CN" w:bidi="ar-SA"/>
              </w:rPr>
              <w:t xml:space="preserve">  建设项目环境风险简单分析内容表</w:t>
            </w:r>
          </w:p>
          <w:tbl>
            <w:tblPr>
              <w:tblStyle w:val="2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618"/>
              <w:gridCol w:w="2166"/>
              <w:gridCol w:w="908"/>
              <w:gridCol w:w="2132"/>
            </w:tblGrid>
            <w:tr w14:paraId="20858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3" w:type="pct"/>
                  <w:tcBorders>
                    <w:top w:val="single" w:color="auto" w:sz="12" w:space="0"/>
                    <w:left w:val="single" w:color="auto" w:sz="12" w:space="0"/>
                    <w:bottom w:val="single" w:color="auto" w:sz="4" w:space="0"/>
                    <w:right w:val="single" w:color="auto" w:sz="4" w:space="0"/>
                    <w:tl2br w:val="nil"/>
                    <w:tr2bl w:val="nil"/>
                  </w:tcBorders>
                  <w:noWrap w:val="0"/>
                  <w:vAlign w:val="center"/>
                </w:tcPr>
                <w:p w14:paraId="799D0B53">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建设项目名称</w:t>
                  </w:r>
                </w:p>
              </w:tc>
              <w:tc>
                <w:tcPr>
                  <w:tcW w:w="3676" w:type="pct"/>
                  <w:gridSpan w:val="4"/>
                  <w:tcBorders>
                    <w:top w:val="single" w:color="auto" w:sz="12" w:space="0"/>
                    <w:left w:val="single" w:color="auto" w:sz="4" w:space="0"/>
                    <w:bottom w:val="single" w:color="auto" w:sz="4" w:space="0"/>
                    <w:right w:val="single" w:color="auto" w:sz="12" w:space="0"/>
                    <w:tl2br w:val="nil"/>
                    <w:tr2bl w:val="nil"/>
                  </w:tcBorders>
                  <w:noWrap w:val="0"/>
                  <w:vAlign w:val="center"/>
                </w:tcPr>
                <w:p w14:paraId="7CF4DD84">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先进钛合金材料产业园</w:t>
                  </w:r>
                </w:p>
              </w:tc>
            </w:tr>
            <w:tr w14:paraId="7C3B8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3"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1D913121">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建设地点</w:t>
                  </w:r>
                </w:p>
              </w:tc>
              <w:tc>
                <w:tcPr>
                  <w:tcW w:w="3676" w:type="pct"/>
                  <w:gridSpan w:val="4"/>
                  <w:tcBorders>
                    <w:top w:val="single" w:color="auto" w:sz="4" w:space="0"/>
                    <w:left w:val="single" w:color="auto" w:sz="4" w:space="0"/>
                    <w:bottom w:val="single" w:color="auto" w:sz="4" w:space="0"/>
                    <w:right w:val="single" w:color="auto" w:sz="12" w:space="0"/>
                    <w:tl2br w:val="nil"/>
                    <w:tr2bl w:val="nil"/>
                  </w:tcBorders>
                  <w:noWrap w:val="0"/>
                  <w:vAlign w:val="center"/>
                </w:tcPr>
                <w:p w14:paraId="310678DC">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陕西省西咸新区沣西新城创新港G板块，四至范围为CXG东南二路以东、创智路以北、CXG东南三路以西地块</w:t>
                  </w:r>
                </w:p>
              </w:tc>
            </w:tr>
            <w:tr w14:paraId="5FF44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3"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2DDA2A28">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c>
                <w:tcPr>
                  <w:tcW w:w="3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460B3C">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经度</w:t>
                  </w:r>
                </w:p>
              </w:tc>
              <w:tc>
                <w:tcPr>
                  <w:tcW w:w="13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CACB3B">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u w:val="none"/>
                      <w:lang w:eastAsia="zh-CN"/>
                    </w:rPr>
                    <w:t>108°41′0.355″</w:t>
                  </w:r>
                </w:p>
              </w:tc>
              <w:tc>
                <w:tcPr>
                  <w:tcW w:w="57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141DD3">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纬度</w:t>
                  </w:r>
                </w:p>
              </w:tc>
              <w:tc>
                <w:tcPr>
                  <w:tcW w:w="134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977E2C8">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u w:val="none"/>
                      <w:lang w:val="en-US" w:eastAsia="zh-CN"/>
                    </w:rPr>
                    <w:t xml:space="preserve">34° 13′31.482″ </w:t>
                  </w:r>
                </w:p>
              </w:tc>
            </w:tr>
            <w:tr w14:paraId="04235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3"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35950115">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主要危险物质及分布</w:t>
                  </w:r>
                </w:p>
              </w:tc>
              <w:tc>
                <w:tcPr>
                  <w:tcW w:w="3676" w:type="pct"/>
                  <w:gridSpan w:val="4"/>
                  <w:tcBorders>
                    <w:top w:val="single" w:color="auto" w:sz="4" w:space="0"/>
                    <w:left w:val="single" w:color="auto" w:sz="4" w:space="0"/>
                    <w:bottom w:val="single" w:color="auto" w:sz="4" w:space="0"/>
                    <w:right w:val="single" w:color="auto" w:sz="12" w:space="0"/>
                    <w:tl2br w:val="nil"/>
                    <w:tr2bl w:val="nil"/>
                  </w:tcBorders>
                  <w:noWrap w:val="0"/>
                  <w:vAlign w:val="center"/>
                </w:tcPr>
                <w:p w14:paraId="24B88696">
                  <w:pPr>
                    <w:pStyle w:val="23"/>
                    <w:keepNext w:val="0"/>
                    <w:keepLines w:val="0"/>
                    <w:suppressLineNumbers w:val="0"/>
                    <w:autoSpaceDE w:val="0"/>
                    <w:autoSpaceDN w:val="0"/>
                    <w:spacing w:before="0" w:beforeLines="0" w:beforeAutospacing="0" w:after="0" w:afterLines="0" w:afterAutospacing="0" w:line="240" w:lineRule="auto"/>
                    <w:ind w:left="0" w:right="0"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化学试剂</w:t>
                  </w:r>
                  <w:r>
                    <w:rPr>
                      <w:rFonts w:hint="default" w:ascii="Times New Roman" w:hAnsi="Times New Roman" w:eastAsia="宋体" w:cs="Times New Roman"/>
                      <w:color w:val="auto"/>
                      <w:sz w:val="21"/>
                      <w:szCs w:val="21"/>
                      <w:highlight w:val="none"/>
                      <w:lang w:val="en-US" w:eastAsia="zh-CN"/>
                    </w:rPr>
                    <w:t>储存于</w:t>
                  </w: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专用储存柜</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油类物质</w:t>
                  </w:r>
                  <w:r>
                    <w:rPr>
                      <w:rFonts w:hint="default" w:ascii="Times New Roman" w:hAnsi="Times New Roman" w:eastAsia="宋体" w:cs="Times New Roman"/>
                      <w:color w:val="auto"/>
                      <w:sz w:val="21"/>
                      <w:szCs w:val="21"/>
                      <w:highlight w:val="none"/>
                      <w:lang w:val="en-US" w:eastAsia="zh-CN"/>
                    </w:rPr>
                    <w:t>储存于油品存放库，危险废物均暂存于</w:t>
                  </w:r>
                  <w:r>
                    <w:rPr>
                      <w:rFonts w:hint="eastAsia" w:ascii="Times New Roman" w:hAnsi="Times New Roman" w:eastAsia="宋体" w:cs="Times New Roman"/>
                      <w:color w:val="auto"/>
                      <w:sz w:val="21"/>
                      <w:szCs w:val="21"/>
                      <w:highlight w:val="none"/>
                      <w:lang w:val="en-US" w:eastAsia="zh-CN"/>
                    </w:rPr>
                    <w:t>危险废物贮存库</w:t>
                  </w:r>
                </w:p>
              </w:tc>
            </w:tr>
            <w:tr w14:paraId="4375F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3"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CA52CF7">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环境影响途径及危害后果（大气、地表水、地下水）</w:t>
                  </w:r>
                </w:p>
              </w:tc>
              <w:tc>
                <w:tcPr>
                  <w:tcW w:w="3676" w:type="pct"/>
                  <w:gridSpan w:val="4"/>
                  <w:tcBorders>
                    <w:top w:val="single" w:color="auto" w:sz="4" w:space="0"/>
                    <w:left w:val="single" w:color="auto" w:sz="4" w:space="0"/>
                    <w:bottom w:val="single" w:color="auto" w:sz="4" w:space="0"/>
                    <w:right w:val="single" w:color="auto" w:sz="12" w:space="0"/>
                    <w:tl2br w:val="nil"/>
                    <w:tr2bl w:val="nil"/>
                  </w:tcBorders>
                  <w:noWrap w:val="0"/>
                  <w:vAlign w:val="center"/>
                </w:tcPr>
                <w:p w14:paraId="2057ADB1">
                  <w:pPr>
                    <w:keepNext w:val="0"/>
                    <w:keepLines w:val="0"/>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化学品在储存和使用过程中可能导致液体逸散、洒落、倾倒，如果储存或实验过程中操作不当，可能会引土壤、地下水等风险事故；部分有机溶剂靠近热源易着火，遇到明火可导致火灾发生。</w:t>
                  </w:r>
                </w:p>
                <w:p w14:paraId="37E10111">
                  <w:pPr>
                    <w:pStyle w:val="23"/>
                    <w:keepNext w:val="0"/>
                    <w:keepLines w:val="0"/>
                    <w:suppressLineNumbers w:val="0"/>
                    <w:autoSpaceDE w:val="0"/>
                    <w:autoSpaceDN w:val="0"/>
                    <w:spacing w:before="0" w:beforeLines="0" w:beforeAutospacing="0" w:after="0" w:afterLines="0" w:afterAutospacing="0" w:line="240" w:lineRule="auto"/>
                    <w:ind w:left="0" w:right="0"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油类物质</w:t>
                  </w:r>
                  <w:r>
                    <w:rPr>
                      <w:rFonts w:hint="default" w:ascii="Times New Roman" w:hAnsi="Times New Roman" w:eastAsia="宋体" w:cs="Times New Roman"/>
                      <w:color w:val="auto"/>
                      <w:sz w:val="21"/>
                      <w:szCs w:val="21"/>
                      <w:highlight w:val="none"/>
                      <w:lang w:val="en-US" w:eastAsia="zh-CN"/>
                    </w:rPr>
                    <w:t>遇明火、高热可燃，燃烧产生一氧化碳、二氧化碳，进入大气污染大气环境</w:t>
                  </w:r>
                  <w:r>
                    <w:rPr>
                      <w:rFonts w:hint="eastAsia" w:ascii="Times New Roman" w:hAnsi="Times New Roman" w:eastAsia="宋体" w:cs="Times New Roman"/>
                      <w:color w:val="auto"/>
                      <w:sz w:val="21"/>
                      <w:szCs w:val="21"/>
                      <w:highlight w:val="none"/>
                      <w:lang w:val="en-US" w:eastAsia="zh-CN"/>
                    </w:rPr>
                    <w:t>。油类物质</w:t>
                  </w:r>
                  <w:r>
                    <w:rPr>
                      <w:rFonts w:hint="default" w:ascii="Times New Roman" w:hAnsi="Times New Roman" w:eastAsia="宋体" w:cs="Times New Roman"/>
                      <w:color w:val="auto"/>
                      <w:sz w:val="21"/>
                      <w:szCs w:val="21"/>
                      <w:highlight w:val="none"/>
                      <w:lang w:val="en-US" w:eastAsia="zh-CN"/>
                    </w:rPr>
                    <w:t>泄露可进入土壤，地下水污染土壤、地下水环境。</w:t>
                  </w:r>
                </w:p>
                <w:p w14:paraId="56279A2A">
                  <w:pPr>
                    <w:pStyle w:val="23"/>
                    <w:keepNext w:val="0"/>
                    <w:keepLines w:val="0"/>
                    <w:suppressLineNumbers w:val="0"/>
                    <w:autoSpaceDE w:val="0"/>
                    <w:autoSpaceDN w:val="0"/>
                    <w:spacing w:before="0" w:beforeLines="0" w:beforeAutospacing="0" w:after="0" w:afterLines="0" w:afterAutospacing="0" w:line="240" w:lineRule="auto"/>
                    <w:ind w:left="0" w:right="0" w:firstLine="420" w:firstLineChars="200"/>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r>
                    <w:rPr>
                      <w:rFonts w:hint="eastAsia" w:ascii="Times New Roman" w:hAnsi="Times New Roman" w:eastAsia="宋体" w:cs="Times New Roman"/>
                      <w:color w:val="auto"/>
                      <w:sz w:val="21"/>
                      <w:szCs w:val="21"/>
                      <w:highlight w:val="none"/>
                      <w:lang w:val="en-US" w:eastAsia="zh-CN"/>
                    </w:rPr>
                    <w:t>泄露</w:t>
                  </w:r>
                  <w:r>
                    <w:rPr>
                      <w:rFonts w:hint="default" w:ascii="Times New Roman" w:hAnsi="Times New Roman" w:eastAsia="宋体" w:cs="Times New Roman"/>
                      <w:color w:val="auto"/>
                      <w:szCs w:val="21"/>
                      <w:highlight w:val="none"/>
                    </w:rPr>
                    <w:t>可能会引土壤、地下水等风险事故</w:t>
                  </w:r>
                  <w:r>
                    <w:rPr>
                      <w:rFonts w:hint="eastAsia" w:ascii="Times New Roman" w:hAnsi="Times New Roman" w:eastAsia="宋体" w:cs="Times New Roman"/>
                      <w:color w:val="auto"/>
                      <w:szCs w:val="21"/>
                      <w:highlight w:val="none"/>
                      <w:lang w:eastAsia="zh-CN"/>
                    </w:rPr>
                    <w:t>。</w:t>
                  </w:r>
                </w:p>
              </w:tc>
            </w:tr>
            <w:tr w14:paraId="6B3C4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323"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26E80BF9">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风险防范措施要求</w:t>
                  </w:r>
                </w:p>
              </w:tc>
              <w:tc>
                <w:tcPr>
                  <w:tcW w:w="3676" w:type="pct"/>
                  <w:gridSpan w:val="4"/>
                  <w:tcBorders>
                    <w:top w:val="single" w:color="auto" w:sz="4" w:space="0"/>
                    <w:left w:val="single" w:color="auto" w:sz="4" w:space="0"/>
                    <w:bottom w:val="single" w:color="auto" w:sz="4" w:space="0"/>
                    <w:right w:val="single" w:color="auto" w:sz="12" w:space="0"/>
                    <w:tl2br w:val="nil"/>
                    <w:tr2bl w:val="nil"/>
                  </w:tcBorders>
                  <w:noWrap w:val="0"/>
                  <w:vAlign w:val="center"/>
                </w:tcPr>
                <w:p w14:paraId="08CAC833">
                  <w:pPr>
                    <w:pStyle w:val="23"/>
                    <w:keepNext w:val="0"/>
                    <w:keepLines w:val="0"/>
                    <w:suppressLineNumbers w:val="0"/>
                    <w:autoSpaceDE w:val="0"/>
                    <w:autoSpaceDN w:val="0"/>
                    <w:spacing w:before="0" w:beforeLines="0" w:beforeAutospacing="0" w:after="0" w:afterLines="0" w:afterAutospacing="0" w:line="240" w:lineRule="auto"/>
                    <w:ind w:left="0" w:right="0"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eastAsiaTheme="minorEastAsia"/>
                      <w:b w:val="0"/>
                      <w:bCs w:val="0"/>
                      <w:i w:val="0"/>
                      <w:iCs w:val="0"/>
                      <w:color w:val="auto"/>
                      <w:kern w:val="0"/>
                      <w:sz w:val="21"/>
                      <w:szCs w:val="21"/>
                      <w:highlight w:val="none"/>
                      <w:u w:val="none"/>
                      <w:lang w:val="en-US" w:eastAsia="zh-CN" w:bidi="ar"/>
                    </w:rPr>
                    <w:t>专用储存柜</w:t>
                  </w:r>
                  <w:r>
                    <w:rPr>
                      <w:rFonts w:hint="eastAsia" w:ascii="Times New Roman" w:hAnsi="Times New Roman" w:cs="Times New Roman" w:eastAsiaTheme="minorEastAsia"/>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sz w:val="21"/>
                      <w:szCs w:val="21"/>
                      <w:highlight w:val="none"/>
                      <w:lang w:val="en-US" w:eastAsia="zh-CN"/>
                    </w:rPr>
                    <w:t>油品存放库</w:t>
                  </w:r>
                  <w:r>
                    <w:rPr>
                      <w:rFonts w:hint="eastAsia" w:ascii="Times New Roman" w:hAnsi="Times New Roman" w:eastAsia="宋体" w:cs="Times New Roman"/>
                      <w:color w:val="auto"/>
                      <w:sz w:val="21"/>
                      <w:szCs w:val="21"/>
                      <w:highlight w:val="none"/>
                      <w:lang w:val="en-US" w:eastAsia="zh-CN"/>
                    </w:rPr>
                    <w:t>及危险废物贮存库</w:t>
                  </w:r>
                  <w:r>
                    <w:rPr>
                      <w:rFonts w:hint="default" w:ascii="Times New Roman" w:hAnsi="Times New Roman" w:eastAsia="宋体" w:cs="Times New Roman"/>
                      <w:color w:val="auto"/>
                      <w:sz w:val="21"/>
                      <w:szCs w:val="21"/>
                      <w:highlight w:val="none"/>
                    </w:rPr>
                    <w:t>与其他设施的距离应符合防火规范，严禁烟火、防止静电、撞击，保持通风阴凉。储存区应设置泄漏报警装置，设干粉、二氧化碳灭火装置</w:t>
                  </w:r>
                  <w:r>
                    <w:rPr>
                      <w:rFonts w:hint="default" w:ascii="Times New Roman" w:hAnsi="Times New Roman" w:eastAsia="宋体" w:cs="Times New Roman"/>
                      <w:color w:val="auto"/>
                      <w:sz w:val="21"/>
                      <w:szCs w:val="21"/>
                      <w:highlight w:val="none"/>
                      <w:lang w:eastAsia="zh-CN"/>
                    </w:rPr>
                    <w:t>。</w:t>
                  </w:r>
                </w:p>
              </w:tc>
            </w:tr>
            <w:tr w14:paraId="27396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3" w:type="pct"/>
                  <w:tcBorders>
                    <w:top w:val="single" w:color="auto" w:sz="4" w:space="0"/>
                    <w:left w:val="single" w:color="auto" w:sz="12" w:space="0"/>
                    <w:bottom w:val="single" w:color="auto" w:sz="12" w:space="0"/>
                    <w:right w:val="single" w:color="auto" w:sz="4" w:space="0"/>
                    <w:tl2br w:val="nil"/>
                    <w:tr2bl w:val="nil"/>
                  </w:tcBorders>
                  <w:noWrap w:val="0"/>
                  <w:vAlign w:val="center"/>
                </w:tcPr>
                <w:p w14:paraId="6E3F3CE5">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填表说明（列出相关信息及评价说明）</w:t>
                  </w:r>
                </w:p>
              </w:tc>
              <w:tc>
                <w:tcPr>
                  <w:tcW w:w="3676" w:type="pct"/>
                  <w:gridSpan w:val="4"/>
                  <w:tcBorders>
                    <w:top w:val="single" w:color="auto" w:sz="4" w:space="0"/>
                    <w:left w:val="single" w:color="auto" w:sz="4" w:space="0"/>
                    <w:bottom w:val="single" w:color="auto" w:sz="12" w:space="0"/>
                    <w:right w:val="single" w:color="auto" w:sz="12" w:space="0"/>
                    <w:tl2br w:val="nil"/>
                    <w:tr2bl w:val="nil"/>
                  </w:tcBorders>
                  <w:noWrap w:val="0"/>
                  <w:vAlign w:val="center"/>
                </w:tcPr>
                <w:p w14:paraId="41CFE53F">
                  <w:pPr>
                    <w:pStyle w:val="23"/>
                    <w:keepNext w:val="0"/>
                    <w:keepLines w:val="0"/>
                    <w:suppressLineNumbers w:val="0"/>
                    <w:autoSpaceDE w:val="0"/>
                    <w:autoSpaceDN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lang w:val="en-US" w:eastAsia="zh-CN"/>
                    </w:rPr>
                    <w:t>/</w:t>
                  </w:r>
                </w:p>
              </w:tc>
            </w:tr>
          </w:tbl>
          <w:p w14:paraId="680A06FF">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20" w:firstLineChars="200"/>
              <w:rPr>
                <w:rFonts w:hint="default" w:ascii="Times New Roman" w:hAnsi="Times New Roman" w:eastAsia="宋体" w:cs="Times New Roman"/>
                <w:b/>
                <w:color w:val="auto"/>
                <w:sz w:val="24"/>
                <w:szCs w:val="24"/>
                <w:highlight w:val="none"/>
                <w:lang w:val="en-US" w:eastAsia="zh-CN"/>
              </w:rPr>
            </w:pPr>
            <w:r>
              <w:rPr>
                <w:rFonts w:hint="eastAsia"/>
                <w:color w:val="auto"/>
                <w:highlight w:val="none"/>
                <w:lang w:val="en-US" w:eastAsia="zh-CN"/>
              </w:rPr>
              <w:t xml:space="preserve"> </w:t>
            </w:r>
            <w:r>
              <w:rPr>
                <w:rFonts w:hint="eastAsia" w:ascii="Times New Roman" w:hAnsi="Times New Roman" w:eastAsia="宋体"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lang w:val="en-US" w:eastAsia="zh-CN"/>
              </w:rPr>
              <w:t>、环保投资概算</w:t>
            </w:r>
          </w:p>
          <w:p w14:paraId="242338B3">
            <w:pPr>
              <w:keepNext w:val="0"/>
              <w:keepLines w:val="0"/>
              <w:pageBreakBefore w:val="0"/>
              <w:widowControl w:val="0"/>
              <w:suppressLineNumbers w:val="0"/>
              <w:tabs>
                <w:tab w:val="left" w:pos="3150"/>
                <w:tab w:val="left" w:pos="4305"/>
              </w:tabs>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zh-CN" w:eastAsia="zh-CN" w:bidi="ar-SA"/>
              </w:rPr>
              <w:t>本项目总投资</w:t>
            </w:r>
            <w:r>
              <w:rPr>
                <w:rFonts w:hint="eastAsia" w:cs="Times New Roman"/>
                <w:color w:val="auto"/>
                <w:sz w:val="24"/>
                <w:szCs w:val="24"/>
                <w:highlight w:val="none"/>
                <w:lang w:val="en-US" w:eastAsia="zh-CN"/>
              </w:rPr>
              <w:t>35000</w:t>
            </w:r>
            <w:r>
              <w:rPr>
                <w:rFonts w:hint="default" w:ascii="Times New Roman" w:hAnsi="Times New Roman" w:eastAsia="宋体" w:cs="Times New Roman"/>
                <w:color w:val="auto"/>
                <w:kern w:val="2"/>
                <w:sz w:val="24"/>
                <w:szCs w:val="24"/>
                <w:highlight w:val="none"/>
                <w:lang w:val="zh-CN" w:eastAsia="zh-CN" w:bidi="ar-SA"/>
              </w:rPr>
              <w:t>万元。其中环保投资为</w:t>
            </w:r>
            <w:r>
              <w:rPr>
                <w:rFonts w:hint="eastAsia" w:cs="Times New Roman"/>
                <w:color w:val="auto"/>
                <w:sz w:val="24"/>
                <w:szCs w:val="24"/>
                <w:highlight w:val="none"/>
                <w:lang w:val="en-US" w:eastAsia="zh-CN"/>
              </w:rPr>
              <w:t>120</w:t>
            </w:r>
            <w:r>
              <w:rPr>
                <w:rFonts w:hint="default" w:ascii="Times New Roman" w:hAnsi="Times New Roman" w:eastAsia="宋体" w:cs="Times New Roman"/>
                <w:color w:val="auto"/>
                <w:kern w:val="2"/>
                <w:sz w:val="24"/>
                <w:szCs w:val="24"/>
                <w:highlight w:val="none"/>
                <w:lang w:val="zh-CN" w:eastAsia="zh-CN" w:bidi="ar-SA"/>
              </w:rPr>
              <w:t>万元，占总投资额的</w:t>
            </w:r>
            <w:r>
              <w:rPr>
                <w:rFonts w:hint="eastAsia" w:cs="Times New Roman"/>
                <w:color w:val="auto"/>
                <w:sz w:val="24"/>
                <w:szCs w:val="24"/>
                <w:highlight w:val="none"/>
                <w:lang w:val="en-US" w:eastAsia="zh-CN"/>
              </w:rPr>
              <w:t>0.34</w:t>
            </w:r>
            <w:r>
              <w:rPr>
                <w:rFonts w:hint="default" w:ascii="Times New Roman" w:hAnsi="Times New Roman" w:eastAsia="宋体" w:cs="Times New Roman"/>
                <w:color w:val="auto"/>
                <w:kern w:val="2"/>
                <w:sz w:val="24"/>
                <w:szCs w:val="24"/>
                <w:highlight w:val="none"/>
                <w:lang w:val="zh-CN" w:eastAsia="zh-CN" w:bidi="ar-SA"/>
              </w:rPr>
              <w:t>%，环保投资估算</w:t>
            </w:r>
            <w:r>
              <w:rPr>
                <w:rFonts w:hint="eastAsia" w:ascii="Times New Roman" w:hAnsi="Times New Roman" w:eastAsia="宋体" w:cs="Times New Roman"/>
                <w:color w:val="auto"/>
                <w:kern w:val="2"/>
                <w:sz w:val="24"/>
                <w:szCs w:val="24"/>
                <w:highlight w:val="none"/>
                <w:lang w:val="zh-CN" w:eastAsia="zh-CN" w:bidi="ar-SA"/>
              </w:rPr>
              <w:t>见下表。</w:t>
            </w:r>
          </w:p>
          <w:p w14:paraId="402F8E4B">
            <w:pPr>
              <w:keepNext w:val="0"/>
              <w:keepLines w:val="0"/>
              <w:pageBreakBefore w:val="0"/>
              <w:widowControl w:val="0"/>
              <w:suppressLineNumbers w:val="0"/>
              <w:tabs>
                <w:tab w:val="left" w:pos="3150"/>
                <w:tab w:val="left" w:pos="430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lang w:val="zh-CN"/>
              </w:rPr>
            </w:pPr>
            <w:r>
              <w:rPr>
                <w:rFonts w:hint="default" w:ascii="Times New Roman" w:hAnsi="Times New Roman" w:eastAsia="宋体" w:cs="Times New Roman"/>
                <w:b/>
                <w:color w:val="auto"/>
                <w:sz w:val="21"/>
                <w:szCs w:val="21"/>
                <w:highlight w:val="none"/>
                <w:lang w:val="zh-CN"/>
              </w:rPr>
              <w:t>表</w:t>
            </w:r>
            <w:r>
              <w:rPr>
                <w:rFonts w:hint="eastAsia" w:ascii="Times New Roman" w:hAnsi="Times New Roman" w:eastAsia="宋体" w:cs="Times New Roman"/>
                <w:b/>
                <w:color w:val="auto"/>
                <w:sz w:val="21"/>
                <w:szCs w:val="21"/>
                <w:highlight w:val="none"/>
                <w:lang w:val="en-US" w:eastAsia="zh-CN"/>
              </w:rPr>
              <w:t xml:space="preserve">4-15   </w:t>
            </w:r>
            <w:r>
              <w:rPr>
                <w:rFonts w:hint="default" w:ascii="Times New Roman" w:hAnsi="Times New Roman" w:eastAsia="宋体" w:cs="Times New Roman"/>
                <w:b/>
                <w:color w:val="auto"/>
                <w:sz w:val="21"/>
                <w:szCs w:val="21"/>
                <w:highlight w:val="none"/>
                <w:lang w:val="zh-CN"/>
              </w:rPr>
              <w:t>环保投资概算（万元）</w:t>
            </w:r>
          </w:p>
          <w:tbl>
            <w:tblPr>
              <w:tblStyle w:val="28"/>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
            <w:tblGrid>
              <w:gridCol w:w="715"/>
              <w:gridCol w:w="1283"/>
              <w:gridCol w:w="4264"/>
              <w:gridCol w:w="877"/>
              <w:gridCol w:w="774"/>
            </w:tblGrid>
            <w:tr w14:paraId="2DC99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52" w:type="pct"/>
                  <w:tcBorders>
                    <w:tl2br w:val="nil"/>
                    <w:tr2bl w:val="nil"/>
                  </w:tcBorders>
                  <w:noWrap w:val="0"/>
                  <w:vAlign w:val="center"/>
                </w:tcPr>
                <w:p w14:paraId="6CDBDBD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bCs/>
                      <w:color w:val="auto"/>
                      <w:sz w:val="21"/>
                      <w:szCs w:val="21"/>
                      <w:highlight w:val="none"/>
                    </w:rPr>
                  </w:pPr>
                  <w:r>
                    <w:rPr>
                      <w:rFonts w:hint="default"/>
                      <w:b/>
                      <w:bCs/>
                      <w:color w:val="auto"/>
                      <w:sz w:val="21"/>
                      <w:szCs w:val="21"/>
                      <w:highlight w:val="none"/>
                    </w:rPr>
                    <w:t>污染源</w:t>
                  </w:r>
                </w:p>
              </w:tc>
              <w:tc>
                <w:tcPr>
                  <w:tcW w:w="3505" w:type="pct"/>
                  <w:gridSpan w:val="2"/>
                  <w:tcBorders>
                    <w:tl2br w:val="nil"/>
                    <w:tr2bl w:val="nil"/>
                  </w:tcBorders>
                  <w:noWrap w:val="0"/>
                  <w:vAlign w:val="center"/>
                </w:tcPr>
                <w:p w14:paraId="2AD07FB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bCs/>
                      <w:color w:val="auto"/>
                      <w:sz w:val="21"/>
                      <w:szCs w:val="21"/>
                      <w:highlight w:val="none"/>
                    </w:rPr>
                  </w:pPr>
                  <w:r>
                    <w:rPr>
                      <w:rFonts w:hint="default"/>
                      <w:b/>
                      <w:bCs/>
                      <w:color w:val="auto"/>
                      <w:sz w:val="21"/>
                      <w:szCs w:val="21"/>
                      <w:highlight w:val="none"/>
                    </w:rPr>
                    <w:t>环保措施名称</w:t>
                  </w:r>
                </w:p>
              </w:tc>
              <w:tc>
                <w:tcPr>
                  <w:tcW w:w="553" w:type="pct"/>
                  <w:tcBorders>
                    <w:tl2br w:val="nil"/>
                    <w:tr2bl w:val="nil"/>
                  </w:tcBorders>
                  <w:noWrap w:val="0"/>
                  <w:vAlign w:val="center"/>
                </w:tcPr>
                <w:p w14:paraId="6B73DF7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bCs/>
                      <w:color w:val="auto"/>
                      <w:sz w:val="21"/>
                      <w:szCs w:val="21"/>
                      <w:highlight w:val="none"/>
                    </w:rPr>
                  </w:pPr>
                  <w:r>
                    <w:rPr>
                      <w:rFonts w:hint="default"/>
                      <w:b/>
                      <w:bCs/>
                      <w:color w:val="auto"/>
                      <w:sz w:val="21"/>
                      <w:szCs w:val="21"/>
                      <w:highlight w:val="none"/>
                    </w:rPr>
                    <w:t>数量</w:t>
                  </w:r>
                </w:p>
              </w:tc>
              <w:tc>
                <w:tcPr>
                  <w:tcW w:w="489" w:type="pct"/>
                  <w:tcBorders>
                    <w:tl2br w:val="nil"/>
                    <w:tr2bl w:val="nil"/>
                  </w:tcBorders>
                  <w:noWrap w:val="0"/>
                  <w:vAlign w:val="center"/>
                </w:tcPr>
                <w:p w14:paraId="7A6C824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bCs/>
                      <w:color w:val="auto"/>
                      <w:sz w:val="21"/>
                      <w:szCs w:val="21"/>
                      <w:highlight w:val="none"/>
                    </w:rPr>
                  </w:pPr>
                  <w:r>
                    <w:rPr>
                      <w:rFonts w:hint="default"/>
                      <w:b/>
                      <w:bCs/>
                      <w:color w:val="auto"/>
                      <w:sz w:val="21"/>
                      <w:szCs w:val="21"/>
                      <w:highlight w:val="none"/>
                    </w:rPr>
                    <w:t>环保</w:t>
                  </w:r>
                </w:p>
                <w:p w14:paraId="0E24E8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bCs/>
                      <w:color w:val="auto"/>
                      <w:sz w:val="21"/>
                      <w:szCs w:val="21"/>
                      <w:highlight w:val="none"/>
                    </w:rPr>
                  </w:pPr>
                  <w:r>
                    <w:rPr>
                      <w:rFonts w:hint="default"/>
                      <w:b/>
                      <w:bCs/>
                      <w:color w:val="auto"/>
                      <w:sz w:val="21"/>
                      <w:szCs w:val="21"/>
                      <w:highlight w:val="none"/>
                    </w:rPr>
                    <w:t>投资</w:t>
                  </w:r>
                </w:p>
              </w:tc>
            </w:tr>
            <w:tr w14:paraId="4AFE6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52" w:type="pct"/>
                  <w:vMerge w:val="restart"/>
                  <w:tcBorders>
                    <w:tl2br w:val="nil"/>
                    <w:tr2bl w:val="nil"/>
                  </w:tcBorders>
                  <w:noWrap w:val="0"/>
                  <w:vAlign w:val="center"/>
                </w:tcPr>
                <w:p w14:paraId="3CC46F0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eastAsia" w:eastAsia="宋体"/>
                      <w:b w:val="0"/>
                      <w:bCs w:val="0"/>
                      <w:color w:val="auto"/>
                      <w:sz w:val="21"/>
                      <w:szCs w:val="21"/>
                      <w:highlight w:val="none"/>
                      <w:lang w:eastAsia="zh-CN"/>
                    </w:rPr>
                  </w:pPr>
                  <w:r>
                    <w:rPr>
                      <w:rFonts w:hint="eastAsia"/>
                      <w:b w:val="0"/>
                      <w:bCs w:val="0"/>
                      <w:color w:val="auto"/>
                      <w:sz w:val="21"/>
                      <w:szCs w:val="21"/>
                      <w:highlight w:val="none"/>
                      <w:lang w:eastAsia="zh-CN"/>
                    </w:rPr>
                    <w:t>废气</w:t>
                  </w:r>
                </w:p>
              </w:tc>
              <w:tc>
                <w:tcPr>
                  <w:tcW w:w="811" w:type="pct"/>
                  <w:tcBorders>
                    <w:tl2br w:val="nil"/>
                    <w:tr2bl w:val="nil"/>
                  </w:tcBorders>
                  <w:noWrap w:val="0"/>
                  <w:vAlign w:val="center"/>
                </w:tcPr>
                <w:p w14:paraId="7B11127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焊接烟尘</w:t>
                  </w:r>
                </w:p>
              </w:tc>
              <w:tc>
                <w:tcPr>
                  <w:tcW w:w="2693" w:type="pct"/>
                  <w:tcBorders>
                    <w:tl2br w:val="nil"/>
                    <w:tr2bl w:val="nil"/>
                  </w:tcBorders>
                  <w:noWrap w:val="0"/>
                  <w:vAlign w:val="center"/>
                </w:tcPr>
                <w:p w14:paraId="4C178FE7">
                  <w:pPr>
                    <w:keepNext w:val="0"/>
                    <w:keepLines w:val="0"/>
                    <w:suppressLineNumbers w:val="0"/>
                    <w:spacing w:before="0" w:beforeAutospacing="0" w:after="0" w:afterAutospacing="0" w:line="240" w:lineRule="atLeast"/>
                    <w:ind w:left="0" w:right="0"/>
                    <w:jc w:val="center"/>
                    <w:rPr>
                      <w:rFonts w:hint="default"/>
                      <w:b w:val="0"/>
                      <w:bCs w:val="0"/>
                      <w:color w:val="auto"/>
                      <w:sz w:val="21"/>
                      <w:szCs w:val="21"/>
                      <w:highlight w:val="none"/>
                      <w:lang w:val="en-US" w:eastAsia="zh-CN"/>
                    </w:rPr>
                  </w:pPr>
                  <w:r>
                    <w:rPr>
                      <w:rFonts w:hint="eastAsia"/>
                      <w:bCs/>
                      <w:color w:val="auto"/>
                      <w:sz w:val="21"/>
                      <w:szCs w:val="21"/>
                      <w:highlight w:val="none"/>
                      <w:lang w:val="en-US" w:eastAsia="zh-CN"/>
                    </w:rPr>
                    <w:t>焊烟净化器</w:t>
                  </w:r>
                </w:p>
              </w:tc>
              <w:tc>
                <w:tcPr>
                  <w:tcW w:w="553" w:type="pct"/>
                  <w:tcBorders>
                    <w:tl2br w:val="nil"/>
                    <w:tr2bl w:val="nil"/>
                  </w:tcBorders>
                  <w:noWrap w:val="0"/>
                  <w:vAlign w:val="center"/>
                </w:tcPr>
                <w:p w14:paraId="08ACE3D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7套</w:t>
                  </w:r>
                </w:p>
              </w:tc>
              <w:tc>
                <w:tcPr>
                  <w:tcW w:w="489" w:type="pct"/>
                  <w:tcBorders>
                    <w:tl2br w:val="nil"/>
                    <w:tr2bl w:val="nil"/>
                  </w:tcBorders>
                  <w:noWrap w:val="0"/>
                  <w:vAlign w:val="center"/>
                </w:tcPr>
                <w:p w14:paraId="6AFEC20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10</w:t>
                  </w:r>
                </w:p>
              </w:tc>
            </w:tr>
            <w:tr w14:paraId="0A5A9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52" w:type="pct"/>
                  <w:vMerge w:val="continue"/>
                  <w:tcBorders>
                    <w:tl2br w:val="nil"/>
                    <w:tr2bl w:val="nil"/>
                  </w:tcBorders>
                  <w:noWrap w:val="0"/>
                  <w:vAlign w:val="center"/>
                </w:tcPr>
                <w:p w14:paraId="45EE20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eastAsia"/>
                      <w:b w:val="0"/>
                      <w:bCs w:val="0"/>
                      <w:color w:val="auto"/>
                      <w:sz w:val="21"/>
                      <w:szCs w:val="21"/>
                      <w:highlight w:val="none"/>
                      <w:lang w:eastAsia="zh-CN"/>
                    </w:rPr>
                  </w:pPr>
                </w:p>
              </w:tc>
              <w:tc>
                <w:tcPr>
                  <w:tcW w:w="811" w:type="pct"/>
                  <w:tcBorders>
                    <w:tl2br w:val="nil"/>
                    <w:tr2bl w:val="nil"/>
                  </w:tcBorders>
                  <w:noWrap w:val="0"/>
                  <w:vAlign w:val="center"/>
                </w:tcPr>
                <w:p w14:paraId="1154234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实验室废气</w:t>
                  </w:r>
                </w:p>
              </w:tc>
              <w:tc>
                <w:tcPr>
                  <w:tcW w:w="2693" w:type="pct"/>
                  <w:tcBorders>
                    <w:tl2br w:val="nil"/>
                    <w:tr2bl w:val="nil"/>
                  </w:tcBorders>
                  <w:noWrap w:val="0"/>
                  <w:vAlign w:val="center"/>
                </w:tcPr>
                <w:p w14:paraId="16DF0815">
                  <w:pPr>
                    <w:keepNext w:val="0"/>
                    <w:keepLines w:val="0"/>
                    <w:suppressLineNumbers w:val="0"/>
                    <w:spacing w:before="0" w:beforeAutospacing="0" w:after="0" w:afterAutospacing="0" w:line="240" w:lineRule="atLeast"/>
                    <w:ind w:left="0" w:right="0"/>
                    <w:jc w:val="center"/>
                    <w:rPr>
                      <w:rFonts w:hint="eastAsia"/>
                      <w:bCs/>
                      <w:color w:val="auto"/>
                      <w:sz w:val="21"/>
                      <w:szCs w:val="21"/>
                      <w:highlight w:val="none"/>
                      <w:lang w:val="en-US" w:eastAsia="zh-CN"/>
                    </w:rPr>
                  </w:pPr>
                  <w:r>
                    <w:rPr>
                      <w:rFonts w:hint="eastAsia"/>
                      <w:bCs/>
                      <w:color w:val="auto"/>
                      <w:sz w:val="21"/>
                      <w:szCs w:val="21"/>
                      <w:highlight w:val="none"/>
                      <w:lang w:val="en-US" w:eastAsia="zh-CN"/>
                    </w:rPr>
                    <w:t>通风橱+碱式喷淋塔+二级活性炭吸附装置</w:t>
                  </w:r>
                </w:p>
              </w:tc>
              <w:tc>
                <w:tcPr>
                  <w:tcW w:w="553" w:type="pct"/>
                  <w:tcBorders>
                    <w:tl2br w:val="nil"/>
                    <w:tr2bl w:val="nil"/>
                  </w:tcBorders>
                  <w:noWrap w:val="0"/>
                  <w:vAlign w:val="center"/>
                </w:tcPr>
                <w:p w14:paraId="1C2B91B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1套</w:t>
                  </w:r>
                </w:p>
              </w:tc>
              <w:tc>
                <w:tcPr>
                  <w:tcW w:w="489" w:type="pct"/>
                  <w:tcBorders>
                    <w:tl2br w:val="nil"/>
                    <w:tr2bl w:val="nil"/>
                  </w:tcBorders>
                  <w:noWrap w:val="0"/>
                  <w:vAlign w:val="center"/>
                </w:tcPr>
                <w:p w14:paraId="03D1641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65</w:t>
                  </w:r>
                </w:p>
              </w:tc>
            </w:tr>
            <w:tr w14:paraId="2EB4F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52" w:type="pct"/>
                  <w:vMerge w:val="restart"/>
                  <w:tcBorders>
                    <w:tl2br w:val="nil"/>
                    <w:tr2bl w:val="nil"/>
                  </w:tcBorders>
                  <w:noWrap w:val="0"/>
                  <w:vAlign w:val="center"/>
                </w:tcPr>
                <w:p w14:paraId="10E377D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rPr>
                  </w:pPr>
                  <w:r>
                    <w:rPr>
                      <w:rFonts w:hint="default"/>
                      <w:b w:val="0"/>
                      <w:bCs w:val="0"/>
                      <w:color w:val="auto"/>
                      <w:sz w:val="21"/>
                      <w:szCs w:val="21"/>
                      <w:highlight w:val="none"/>
                    </w:rPr>
                    <w:t>废水</w:t>
                  </w:r>
                </w:p>
              </w:tc>
              <w:tc>
                <w:tcPr>
                  <w:tcW w:w="811" w:type="pct"/>
                  <w:tcBorders>
                    <w:tl2br w:val="nil"/>
                    <w:tr2bl w:val="nil"/>
                  </w:tcBorders>
                  <w:noWrap w:val="0"/>
                  <w:vAlign w:val="center"/>
                </w:tcPr>
                <w:p w14:paraId="1855CFA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rPr>
                  </w:pPr>
                  <w:r>
                    <w:rPr>
                      <w:rFonts w:hint="default"/>
                      <w:b w:val="0"/>
                      <w:bCs w:val="0"/>
                      <w:color w:val="auto"/>
                      <w:sz w:val="21"/>
                      <w:szCs w:val="21"/>
                      <w:highlight w:val="none"/>
                    </w:rPr>
                    <w:t>生活污水</w:t>
                  </w:r>
                </w:p>
              </w:tc>
              <w:tc>
                <w:tcPr>
                  <w:tcW w:w="2693" w:type="pct"/>
                  <w:tcBorders>
                    <w:tl2br w:val="nil"/>
                    <w:tr2bl w:val="nil"/>
                  </w:tcBorders>
                  <w:noWrap w:val="0"/>
                  <w:vAlign w:val="center"/>
                </w:tcPr>
                <w:p w14:paraId="0B750F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eastAsia" w:eastAsia="宋体"/>
                      <w:b w:val="0"/>
                      <w:bCs w:val="0"/>
                      <w:color w:val="auto"/>
                      <w:sz w:val="21"/>
                      <w:szCs w:val="21"/>
                      <w:highlight w:val="none"/>
                      <w:lang w:eastAsia="zh-CN"/>
                    </w:rPr>
                  </w:pPr>
                  <w:r>
                    <w:rPr>
                      <w:rFonts w:hint="default"/>
                      <w:b w:val="0"/>
                      <w:bCs w:val="0"/>
                      <w:color w:val="auto"/>
                      <w:sz w:val="21"/>
                      <w:szCs w:val="21"/>
                      <w:highlight w:val="none"/>
                    </w:rPr>
                    <w:t>化粪池</w:t>
                  </w:r>
                </w:p>
              </w:tc>
              <w:tc>
                <w:tcPr>
                  <w:tcW w:w="553" w:type="pct"/>
                  <w:tcBorders>
                    <w:tl2br w:val="nil"/>
                    <w:tr2bl w:val="nil"/>
                  </w:tcBorders>
                  <w:noWrap w:val="0"/>
                  <w:vAlign w:val="center"/>
                </w:tcPr>
                <w:p w14:paraId="42EE684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rPr>
                  </w:pPr>
                  <w:r>
                    <w:rPr>
                      <w:rFonts w:hint="eastAsia"/>
                      <w:b w:val="0"/>
                      <w:bCs w:val="0"/>
                      <w:color w:val="auto"/>
                      <w:sz w:val="21"/>
                      <w:szCs w:val="21"/>
                      <w:highlight w:val="none"/>
                      <w:lang w:val="en-US" w:eastAsia="zh-CN"/>
                    </w:rPr>
                    <w:t>1座</w:t>
                  </w:r>
                </w:p>
              </w:tc>
              <w:tc>
                <w:tcPr>
                  <w:tcW w:w="489" w:type="pct"/>
                  <w:tcBorders>
                    <w:tl2br w:val="nil"/>
                    <w:tr2bl w:val="nil"/>
                  </w:tcBorders>
                  <w:noWrap w:val="0"/>
                  <w:vAlign w:val="center"/>
                </w:tcPr>
                <w:p w14:paraId="3350728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4</w:t>
                  </w:r>
                </w:p>
              </w:tc>
            </w:tr>
            <w:tr w14:paraId="0E88F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52" w:type="pct"/>
                  <w:vMerge w:val="continue"/>
                  <w:tcBorders>
                    <w:tl2br w:val="nil"/>
                    <w:tr2bl w:val="nil"/>
                  </w:tcBorders>
                  <w:noWrap w:val="0"/>
                  <w:vAlign w:val="center"/>
                </w:tcPr>
                <w:p w14:paraId="401DCEF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rPr>
                  </w:pPr>
                </w:p>
              </w:tc>
              <w:tc>
                <w:tcPr>
                  <w:tcW w:w="811" w:type="pct"/>
                  <w:tcBorders>
                    <w:tl2br w:val="nil"/>
                    <w:tr2bl w:val="nil"/>
                  </w:tcBorders>
                  <w:noWrap w:val="0"/>
                  <w:vAlign w:val="center"/>
                </w:tcPr>
                <w:p w14:paraId="6FA9E2E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eastAsia" w:eastAsia="宋体"/>
                      <w:b w:val="0"/>
                      <w:bCs w:val="0"/>
                      <w:color w:val="auto"/>
                      <w:sz w:val="21"/>
                      <w:szCs w:val="21"/>
                      <w:highlight w:val="none"/>
                      <w:lang w:eastAsia="zh-CN"/>
                    </w:rPr>
                  </w:pPr>
                  <w:r>
                    <w:rPr>
                      <w:rFonts w:hint="eastAsia"/>
                      <w:b w:val="0"/>
                      <w:bCs w:val="0"/>
                      <w:color w:val="auto"/>
                      <w:sz w:val="21"/>
                      <w:szCs w:val="21"/>
                      <w:highlight w:val="none"/>
                      <w:lang w:eastAsia="zh-CN"/>
                    </w:rPr>
                    <w:t>生产废水</w:t>
                  </w:r>
                </w:p>
              </w:tc>
              <w:tc>
                <w:tcPr>
                  <w:tcW w:w="2693" w:type="pct"/>
                  <w:tcBorders>
                    <w:tl2br w:val="nil"/>
                    <w:tr2bl w:val="nil"/>
                  </w:tcBorders>
                  <w:noWrap w:val="0"/>
                  <w:vAlign w:val="center"/>
                </w:tcPr>
                <w:p w14:paraId="317CF6B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污水收集池</w:t>
                  </w:r>
                </w:p>
              </w:tc>
              <w:tc>
                <w:tcPr>
                  <w:tcW w:w="553" w:type="pct"/>
                  <w:tcBorders>
                    <w:tl2br w:val="nil"/>
                    <w:tr2bl w:val="nil"/>
                  </w:tcBorders>
                  <w:noWrap w:val="0"/>
                  <w:vAlign w:val="center"/>
                </w:tcPr>
                <w:p w14:paraId="0B62B04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1座</w:t>
                  </w:r>
                </w:p>
              </w:tc>
              <w:tc>
                <w:tcPr>
                  <w:tcW w:w="489" w:type="pct"/>
                  <w:tcBorders>
                    <w:tl2br w:val="nil"/>
                    <w:tr2bl w:val="nil"/>
                  </w:tcBorders>
                  <w:noWrap w:val="0"/>
                  <w:vAlign w:val="center"/>
                </w:tcPr>
                <w:p w14:paraId="0B662D8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15</w:t>
                  </w:r>
                </w:p>
              </w:tc>
            </w:tr>
            <w:tr w14:paraId="76DC4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52" w:type="pct"/>
                  <w:tcBorders>
                    <w:tl2br w:val="nil"/>
                    <w:tr2bl w:val="nil"/>
                  </w:tcBorders>
                  <w:noWrap w:val="0"/>
                  <w:vAlign w:val="center"/>
                </w:tcPr>
                <w:p w14:paraId="1E389E9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rPr>
                  </w:pPr>
                  <w:r>
                    <w:rPr>
                      <w:rFonts w:hint="default"/>
                      <w:b w:val="0"/>
                      <w:bCs w:val="0"/>
                      <w:color w:val="auto"/>
                      <w:sz w:val="21"/>
                      <w:szCs w:val="21"/>
                      <w:highlight w:val="none"/>
                    </w:rPr>
                    <w:t>噪声</w:t>
                  </w:r>
                </w:p>
              </w:tc>
              <w:tc>
                <w:tcPr>
                  <w:tcW w:w="3505" w:type="pct"/>
                  <w:gridSpan w:val="2"/>
                  <w:tcBorders>
                    <w:tl2br w:val="nil"/>
                    <w:tr2bl w:val="nil"/>
                  </w:tcBorders>
                  <w:noWrap w:val="0"/>
                  <w:vAlign w:val="center"/>
                </w:tcPr>
                <w:p w14:paraId="15143948">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b w:val="0"/>
                      <w:bCs w:val="0"/>
                      <w:color w:val="auto"/>
                      <w:sz w:val="21"/>
                      <w:szCs w:val="21"/>
                      <w:highlight w:val="none"/>
                      <w:lang w:eastAsia="zh-CN"/>
                    </w:rPr>
                  </w:pPr>
                  <w:r>
                    <w:rPr>
                      <w:rFonts w:hint="default"/>
                      <w:b w:val="0"/>
                      <w:bCs w:val="0"/>
                      <w:color w:val="auto"/>
                      <w:sz w:val="21"/>
                      <w:szCs w:val="21"/>
                      <w:highlight w:val="none"/>
                    </w:rPr>
                    <w:t>基础减震、隔声、</w:t>
                  </w:r>
                  <w:r>
                    <w:rPr>
                      <w:rFonts w:hint="default"/>
                      <w:b w:val="0"/>
                      <w:bCs w:val="0"/>
                      <w:color w:val="auto"/>
                      <w:sz w:val="21"/>
                      <w:szCs w:val="21"/>
                      <w:highlight w:val="none"/>
                      <w:lang w:val="en-US" w:eastAsia="zh-CN"/>
                    </w:rPr>
                    <w:t>减震</w:t>
                  </w:r>
                  <w:r>
                    <w:rPr>
                      <w:rFonts w:hint="default"/>
                      <w:b w:val="0"/>
                      <w:bCs w:val="0"/>
                      <w:color w:val="auto"/>
                      <w:sz w:val="21"/>
                      <w:szCs w:val="21"/>
                      <w:highlight w:val="none"/>
                    </w:rPr>
                    <w:t>、降噪等</w:t>
                  </w:r>
                </w:p>
              </w:tc>
              <w:tc>
                <w:tcPr>
                  <w:tcW w:w="553" w:type="pct"/>
                  <w:tcBorders>
                    <w:tl2br w:val="nil"/>
                    <w:tr2bl w:val="nil"/>
                  </w:tcBorders>
                  <w:noWrap w:val="0"/>
                  <w:vAlign w:val="center"/>
                </w:tcPr>
                <w:p w14:paraId="52E56B85">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b w:val="0"/>
                      <w:bCs w:val="0"/>
                      <w:color w:val="auto"/>
                      <w:sz w:val="21"/>
                      <w:szCs w:val="21"/>
                      <w:highlight w:val="none"/>
                    </w:rPr>
                  </w:pPr>
                  <w:r>
                    <w:rPr>
                      <w:rFonts w:hint="default"/>
                      <w:b w:val="0"/>
                      <w:bCs w:val="0"/>
                      <w:color w:val="auto"/>
                      <w:sz w:val="21"/>
                      <w:szCs w:val="21"/>
                      <w:highlight w:val="none"/>
                    </w:rPr>
                    <w:t>配套</w:t>
                  </w:r>
                </w:p>
              </w:tc>
              <w:tc>
                <w:tcPr>
                  <w:tcW w:w="489" w:type="pct"/>
                  <w:tcBorders>
                    <w:tl2br w:val="nil"/>
                    <w:tr2bl w:val="nil"/>
                  </w:tcBorders>
                  <w:noWrap w:val="0"/>
                  <w:vAlign w:val="center"/>
                </w:tcPr>
                <w:p w14:paraId="75807FC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12.0</w:t>
                  </w:r>
                </w:p>
              </w:tc>
            </w:tr>
            <w:tr w14:paraId="39D49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52" w:type="pct"/>
                  <w:vMerge w:val="restart"/>
                  <w:tcBorders>
                    <w:tl2br w:val="nil"/>
                    <w:tr2bl w:val="nil"/>
                  </w:tcBorders>
                  <w:noWrap w:val="0"/>
                  <w:vAlign w:val="center"/>
                </w:tcPr>
                <w:p w14:paraId="4C6DBEF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rPr>
                  </w:pPr>
                  <w:r>
                    <w:rPr>
                      <w:rFonts w:hint="default"/>
                      <w:b w:val="0"/>
                      <w:bCs w:val="0"/>
                      <w:color w:val="auto"/>
                      <w:sz w:val="21"/>
                      <w:szCs w:val="21"/>
                      <w:highlight w:val="none"/>
                    </w:rPr>
                    <w:t>固废</w:t>
                  </w:r>
                </w:p>
              </w:tc>
              <w:tc>
                <w:tcPr>
                  <w:tcW w:w="3505" w:type="pct"/>
                  <w:gridSpan w:val="2"/>
                  <w:tcBorders>
                    <w:tl2br w:val="nil"/>
                    <w:tr2bl w:val="nil"/>
                  </w:tcBorders>
                  <w:noWrap w:val="0"/>
                  <w:vAlign w:val="center"/>
                </w:tcPr>
                <w:p w14:paraId="0225C5C3">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eastAsia="宋体"/>
                      <w:b w:val="0"/>
                      <w:bCs w:val="0"/>
                      <w:color w:val="auto"/>
                      <w:sz w:val="21"/>
                      <w:szCs w:val="21"/>
                      <w:highlight w:val="none"/>
                      <w:lang w:eastAsia="zh-CN"/>
                    </w:rPr>
                  </w:pPr>
                  <w:r>
                    <w:rPr>
                      <w:rFonts w:hint="default"/>
                      <w:b w:val="0"/>
                      <w:bCs w:val="0"/>
                      <w:color w:val="auto"/>
                      <w:sz w:val="21"/>
                      <w:szCs w:val="21"/>
                      <w:highlight w:val="none"/>
                    </w:rPr>
                    <w:t>生活垃圾</w:t>
                  </w:r>
                  <w:r>
                    <w:rPr>
                      <w:rFonts w:hint="eastAsia"/>
                      <w:b w:val="0"/>
                      <w:bCs w:val="0"/>
                      <w:color w:val="auto"/>
                      <w:sz w:val="21"/>
                      <w:szCs w:val="21"/>
                      <w:highlight w:val="none"/>
                      <w:lang w:eastAsia="zh-CN"/>
                    </w:rPr>
                    <w:t>桶</w:t>
                  </w:r>
                </w:p>
              </w:tc>
              <w:tc>
                <w:tcPr>
                  <w:tcW w:w="553" w:type="pct"/>
                  <w:tcBorders>
                    <w:tl2br w:val="nil"/>
                    <w:tr2bl w:val="nil"/>
                  </w:tcBorders>
                  <w:noWrap w:val="0"/>
                  <w:vAlign w:val="center"/>
                </w:tcPr>
                <w:p w14:paraId="2611A4FD">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若干</w:t>
                  </w:r>
                </w:p>
              </w:tc>
              <w:tc>
                <w:tcPr>
                  <w:tcW w:w="489" w:type="pct"/>
                  <w:tcBorders>
                    <w:tl2br w:val="nil"/>
                    <w:tr2bl w:val="nil"/>
                  </w:tcBorders>
                  <w:noWrap w:val="0"/>
                  <w:vAlign w:val="center"/>
                </w:tcPr>
                <w:p w14:paraId="7CB5CB61">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1.0</w:t>
                  </w:r>
                </w:p>
              </w:tc>
            </w:tr>
            <w:tr w14:paraId="77D69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52" w:type="pct"/>
                  <w:vMerge w:val="continue"/>
                  <w:tcBorders>
                    <w:tl2br w:val="nil"/>
                    <w:tr2bl w:val="nil"/>
                  </w:tcBorders>
                  <w:noWrap w:val="0"/>
                  <w:vAlign w:val="center"/>
                </w:tcPr>
                <w:p w14:paraId="79629C8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rPr>
                  </w:pPr>
                </w:p>
              </w:tc>
              <w:tc>
                <w:tcPr>
                  <w:tcW w:w="3505" w:type="pct"/>
                  <w:gridSpan w:val="2"/>
                  <w:tcBorders>
                    <w:tl2br w:val="nil"/>
                    <w:tr2bl w:val="nil"/>
                  </w:tcBorders>
                  <w:noWrap w:val="0"/>
                  <w:vAlign w:val="center"/>
                </w:tcPr>
                <w:p w14:paraId="7748F8A6">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b w:val="0"/>
                      <w:bCs w:val="0"/>
                      <w:color w:val="auto"/>
                      <w:sz w:val="21"/>
                      <w:szCs w:val="21"/>
                      <w:highlight w:val="none"/>
                    </w:rPr>
                  </w:pPr>
                  <w:r>
                    <w:rPr>
                      <w:rFonts w:hint="default"/>
                      <w:b w:val="0"/>
                      <w:bCs w:val="0"/>
                      <w:color w:val="auto"/>
                      <w:sz w:val="21"/>
                      <w:szCs w:val="21"/>
                      <w:highlight w:val="none"/>
                    </w:rPr>
                    <w:t>一般固废暂存区</w:t>
                  </w:r>
                </w:p>
              </w:tc>
              <w:tc>
                <w:tcPr>
                  <w:tcW w:w="553" w:type="pct"/>
                  <w:tcBorders>
                    <w:tl2br w:val="nil"/>
                    <w:tr2bl w:val="nil"/>
                  </w:tcBorders>
                  <w:noWrap w:val="0"/>
                  <w:vAlign w:val="center"/>
                </w:tcPr>
                <w:p w14:paraId="04CF21B2">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1处</w:t>
                  </w:r>
                </w:p>
              </w:tc>
              <w:tc>
                <w:tcPr>
                  <w:tcW w:w="489" w:type="pct"/>
                  <w:tcBorders>
                    <w:tl2br w:val="nil"/>
                    <w:tr2bl w:val="nil"/>
                  </w:tcBorders>
                  <w:noWrap w:val="0"/>
                  <w:vAlign w:val="center"/>
                </w:tcPr>
                <w:p w14:paraId="02035D6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3.0</w:t>
                  </w:r>
                </w:p>
              </w:tc>
            </w:tr>
            <w:tr w14:paraId="64E25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52" w:type="pct"/>
                  <w:vMerge w:val="continue"/>
                  <w:tcBorders>
                    <w:tl2br w:val="nil"/>
                    <w:tr2bl w:val="nil"/>
                  </w:tcBorders>
                  <w:noWrap w:val="0"/>
                  <w:vAlign w:val="center"/>
                </w:tcPr>
                <w:p w14:paraId="32C6EA3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rPr>
                  </w:pPr>
                </w:p>
              </w:tc>
              <w:tc>
                <w:tcPr>
                  <w:tcW w:w="3505" w:type="pct"/>
                  <w:gridSpan w:val="2"/>
                  <w:tcBorders>
                    <w:tl2br w:val="nil"/>
                    <w:tr2bl w:val="nil"/>
                  </w:tcBorders>
                  <w:noWrap w:val="0"/>
                  <w:vAlign w:val="center"/>
                </w:tcPr>
                <w:p w14:paraId="7307D3FC">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eastAsia="宋体"/>
                      <w:b w:val="0"/>
                      <w:bCs w:val="0"/>
                      <w:color w:val="auto"/>
                      <w:sz w:val="21"/>
                      <w:szCs w:val="21"/>
                      <w:highlight w:val="none"/>
                      <w:lang w:val="en-US" w:eastAsia="zh-CN"/>
                    </w:rPr>
                  </w:pPr>
                  <w:r>
                    <w:rPr>
                      <w:rFonts w:hint="default"/>
                      <w:b w:val="0"/>
                      <w:bCs w:val="0"/>
                      <w:color w:val="auto"/>
                      <w:sz w:val="21"/>
                      <w:szCs w:val="21"/>
                      <w:highlight w:val="none"/>
                    </w:rPr>
                    <w:t>危废</w:t>
                  </w:r>
                  <w:r>
                    <w:rPr>
                      <w:rFonts w:hint="eastAsia"/>
                      <w:b w:val="0"/>
                      <w:bCs w:val="0"/>
                      <w:color w:val="auto"/>
                      <w:sz w:val="21"/>
                      <w:szCs w:val="21"/>
                      <w:highlight w:val="none"/>
                      <w:lang w:val="en-US" w:eastAsia="zh-CN"/>
                    </w:rPr>
                    <w:t>贮存库</w:t>
                  </w:r>
                </w:p>
              </w:tc>
              <w:tc>
                <w:tcPr>
                  <w:tcW w:w="553" w:type="pct"/>
                  <w:tcBorders>
                    <w:tl2br w:val="nil"/>
                    <w:tr2bl w:val="nil"/>
                  </w:tcBorders>
                  <w:noWrap w:val="0"/>
                  <w:vAlign w:val="center"/>
                </w:tcPr>
                <w:p w14:paraId="3D2D4968">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1间</w:t>
                  </w:r>
                </w:p>
              </w:tc>
              <w:tc>
                <w:tcPr>
                  <w:tcW w:w="489" w:type="pct"/>
                  <w:tcBorders>
                    <w:tl2br w:val="nil"/>
                    <w:tr2bl w:val="nil"/>
                  </w:tcBorders>
                  <w:noWrap w:val="0"/>
                  <w:vAlign w:val="center"/>
                </w:tcPr>
                <w:p w14:paraId="49DF67A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10</w:t>
                  </w:r>
                </w:p>
              </w:tc>
            </w:tr>
            <w:tr w14:paraId="0E072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510" w:type="pct"/>
                  <w:gridSpan w:val="4"/>
                  <w:tcBorders>
                    <w:tl2br w:val="nil"/>
                    <w:tr2bl w:val="nil"/>
                  </w:tcBorders>
                  <w:noWrap w:val="0"/>
                  <w:vAlign w:val="center"/>
                </w:tcPr>
                <w:p w14:paraId="4F35EA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b w:val="0"/>
                      <w:bCs w:val="0"/>
                      <w:color w:val="auto"/>
                      <w:sz w:val="21"/>
                      <w:szCs w:val="21"/>
                      <w:highlight w:val="none"/>
                    </w:rPr>
                  </w:pPr>
                  <w:r>
                    <w:rPr>
                      <w:rFonts w:hint="default"/>
                      <w:b w:val="0"/>
                      <w:bCs w:val="0"/>
                      <w:color w:val="auto"/>
                      <w:sz w:val="21"/>
                      <w:szCs w:val="21"/>
                      <w:highlight w:val="none"/>
                    </w:rPr>
                    <w:t>合计</w:t>
                  </w:r>
                </w:p>
              </w:tc>
              <w:tc>
                <w:tcPr>
                  <w:tcW w:w="489" w:type="pct"/>
                  <w:tcBorders>
                    <w:tl2br w:val="nil"/>
                    <w:tr2bl w:val="nil"/>
                  </w:tcBorders>
                  <w:noWrap w:val="0"/>
                  <w:vAlign w:val="center"/>
                </w:tcPr>
                <w:p w14:paraId="398A5BC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tLeast"/>
                    <w:ind w:left="0" w:right="0"/>
                    <w:jc w:val="center"/>
                    <w:textAlignment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120</w:t>
                  </w:r>
                </w:p>
              </w:tc>
            </w:tr>
          </w:tbl>
          <w:p w14:paraId="083F74CA">
            <w:pPr>
              <w:keepNext w:val="0"/>
              <w:keepLines w:val="0"/>
              <w:suppressLineNumbers w:val="0"/>
              <w:bidi w:val="0"/>
              <w:spacing w:before="0" w:beforeAutospacing="0" w:after="0" w:afterAutospacing="0"/>
              <w:ind w:left="0" w:right="0" w:firstLine="373" w:firstLineChars="0"/>
              <w:jc w:val="left"/>
              <w:rPr>
                <w:rFonts w:hint="default" w:ascii="Times New Roman" w:hAnsi="Times New Roman" w:eastAsia="宋体" w:cs="Times New Roman"/>
                <w:color w:val="auto"/>
                <w:kern w:val="2"/>
                <w:sz w:val="21"/>
                <w:szCs w:val="24"/>
                <w:highlight w:val="none"/>
                <w:lang w:val="en-US" w:eastAsia="zh-CN" w:bidi="ar-SA"/>
              </w:rPr>
            </w:pPr>
          </w:p>
        </w:tc>
      </w:tr>
    </w:tbl>
    <w:p w14:paraId="06F65103">
      <w:pPr>
        <w:tabs>
          <w:tab w:val="left" w:pos="2446"/>
        </w:tabs>
        <w:bidi w:val="0"/>
        <w:jc w:val="left"/>
        <w:rPr>
          <w:rFonts w:hint="default"/>
          <w:color w:val="auto"/>
          <w:sz w:val="21"/>
          <w:szCs w:val="21"/>
          <w:highlight w:val="none"/>
          <w:lang w:val="en-US" w:eastAsia="zh-CN"/>
        </w:rPr>
        <w:sectPr>
          <w:pgSz w:w="11907" w:h="16840"/>
          <w:pgMar w:top="1417" w:right="1531" w:bottom="141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E3C1723">
      <w:pPr>
        <w:pStyle w:val="23"/>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五、</w:t>
      </w:r>
      <w:bookmarkStart w:id="7" w:name="_Hlk54167917"/>
      <w:r>
        <w:rPr>
          <w:rFonts w:hint="default" w:ascii="Times New Roman" w:hAnsi="Times New Roman" w:eastAsia="宋体" w:cs="Times New Roman"/>
          <w:snapToGrid w:val="0"/>
          <w:color w:val="auto"/>
          <w:sz w:val="30"/>
          <w:szCs w:val="30"/>
          <w:highlight w:val="none"/>
        </w:rPr>
        <w:t>环境保护措施监督检查清单</w:t>
      </w:r>
      <w:bookmarkEnd w:id="7"/>
    </w:p>
    <w:tbl>
      <w:tblPr>
        <w:tblStyle w:val="28"/>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2075"/>
        <w:gridCol w:w="1171"/>
        <w:gridCol w:w="2456"/>
        <w:gridCol w:w="2247"/>
      </w:tblGrid>
      <w:tr w14:paraId="36085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610" w:type="pct"/>
            <w:tcBorders>
              <w:tl2br w:val="single" w:color="auto" w:sz="4" w:space="0"/>
            </w:tcBorders>
            <w:noWrap w:val="0"/>
            <w:vAlign w:val="center"/>
          </w:tcPr>
          <w:p w14:paraId="3C971FA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firstLine="241" w:firstLineChars="100"/>
              <w:jc w:val="righ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p w14:paraId="0EDF7DA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w:t>
            </w:r>
          </w:p>
        </w:tc>
        <w:tc>
          <w:tcPr>
            <w:tcW w:w="1145" w:type="pct"/>
            <w:noWrap w:val="0"/>
            <w:vAlign w:val="center"/>
          </w:tcPr>
          <w:p w14:paraId="292598A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编号、</w:t>
            </w:r>
          </w:p>
          <w:p w14:paraId="0335B42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名称</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/污染源</w:t>
            </w:r>
          </w:p>
        </w:tc>
        <w:tc>
          <w:tcPr>
            <w:tcW w:w="646" w:type="pct"/>
            <w:noWrap w:val="0"/>
            <w:vAlign w:val="center"/>
          </w:tcPr>
          <w:p w14:paraId="6104F35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污染物项目</w:t>
            </w:r>
          </w:p>
        </w:tc>
        <w:tc>
          <w:tcPr>
            <w:tcW w:w="1356" w:type="pct"/>
            <w:noWrap w:val="0"/>
            <w:vAlign w:val="center"/>
          </w:tcPr>
          <w:p w14:paraId="684842F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1240" w:type="pct"/>
            <w:noWrap w:val="0"/>
            <w:vAlign w:val="center"/>
          </w:tcPr>
          <w:p w14:paraId="760549E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14:paraId="4CA56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610" w:type="pct"/>
            <w:vMerge w:val="restart"/>
            <w:noWrap w:val="0"/>
            <w:vAlign w:val="center"/>
          </w:tcPr>
          <w:p w14:paraId="63E874F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大气环境</w:t>
            </w:r>
          </w:p>
        </w:tc>
        <w:tc>
          <w:tcPr>
            <w:tcW w:w="1145" w:type="pct"/>
            <w:noWrap w:val="0"/>
            <w:vAlign w:val="center"/>
          </w:tcPr>
          <w:p w14:paraId="1C699516">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0"/>
                <w:sz w:val="24"/>
                <w:szCs w:val="24"/>
                <w:highlight w:val="none"/>
                <w:lang w:val="en-US" w:eastAsia="zh-CN" w:bidi="ar"/>
              </w:rPr>
              <w:t>焊接烟尘</w:t>
            </w:r>
          </w:p>
        </w:tc>
        <w:tc>
          <w:tcPr>
            <w:tcW w:w="646" w:type="pct"/>
            <w:noWrap w:val="0"/>
            <w:vAlign w:val="center"/>
          </w:tcPr>
          <w:p w14:paraId="794509B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颗粒物</w:t>
            </w:r>
          </w:p>
        </w:tc>
        <w:tc>
          <w:tcPr>
            <w:tcW w:w="1356" w:type="pct"/>
            <w:noWrap w:val="0"/>
            <w:vAlign w:val="center"/>
          </w:tcPr>
          <w:p w14:paraId="49F6AEC7">
            <w:pPr>
              <w:keepNext w:val="0"/>
              <w:keepLines w:val="0"/>
              <w:pageBreakBefore w:val="0"/>
              <w:widowControl w:val="0"/>
              <w:suppressLineNumbers w:val="0"/>
              <w:kinsoku/>
              <w:wordWrap w:val="0"/>
              <w:overflowPunct/>
              <w:topLinePunct/>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设备自带焊接烟尘净化器</w:t>
            </w:r>
          </w:p>
        </w:tc>
        <w:tc>
          <w:tcPr>
            <w:tcW w:w="1240" w:type="pct"/>
            <w:noWrap w:val="0"/>
            <w:vAlign w:val="center"/>
          </w:tcPr>
          <w:p w14:paraId="505F879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《大气污染物综合排放标准》（GB16297-1996</w:t>
            </w:r>
            <w:r>
              <w:rPr>
                <w:rFonts w:hint="default" w:ascii="Times New Roman" w:hAnsi="Times New Roman" w:eastAsia="宋体" w:cs="Times New Roman"/>
                <w:color w:val="auto"/>
                <w:sz w:val="24"/>
                <w:szCs w:val="24"/>
                <w:highlight w:val="none"/>
                <w:lang w:eastAsia="zh-CN"/>
              </w:rPr>
              <w:t>）</w:t>
            </w:r>
          </w:p>
        </w:tc>
      </w:tr>
      <w:tr w14:paraId="5D442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610" w:type="pct"/>
            <w:vMerge w:val="continue"/>
            <w:noWrap w:val="0"/>
            <w:vAlign w:val="center"/>
          </w:tcPr>
          <w:p w14:paraId="6E5EE3F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c>
          <w:tcPr>
            <w:tcW w:w="1145" w:type="pct"/>
            <w:noWrap w:val="0"/>
            <w:vAlign w:val="center"/>
          </w:tcPr>
          <w:p w14:paraId="05B2C03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kern w:val="0"/>
                <w:sz w:val="24"/>
                <w:szCs w:val="24"/>
                <w:highlight w:val="none"/>
                <w:lang w:val="en-US" w:eastAsia="zh-CN" w:bidi="ar"/>
              </w:rPr>
              <w:t>实验室废气</w:t>
            </w:r>
          </w:p>
        </w:tc>
        <w:tc>
          <w:tcPr>
            <w:tcW w:w="646" w:type="pct"/>
            <w:noWrap w:val="0"/>
            <w:vAlign w:val="center"/>
          </w:tcPr>
          <w:p w14:paraId="2B10928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color w:val="auto"/>
                <w:sz w:val="24"/>
                <w:szCs w:val="24"/>
                <w:highlight w:val="none"/>
              </w:rPr>
              <w:t>氯化氢、硫酸雾、氟化物、氮氧化物、非甲烷总烃</w:t>
            </w:r>
          </w:p>
        </w:tc>
        <w:tc>
          <w:tcPr>
            <w:tcW w:w="1356" w:type="pct"/>
            <w:noWrap w:val="0"/>
            <w:vAlign w:val="center"/>
          </w:tcPr>
          <w:p w14:paraId="44C88CD5">
            <w:pPr>
              <w:keepNext w:val="0"/>
              <w:keepLines w:val="0"/>
              <w:pageBreakBefore w:val="0"/>
              <w:widowControl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通风橱+碱式喷淋塔+二级活性炭吸附装置</w:t>
            </w:r>
          </w:p>
        </w:tc>
        <w:tc>
          <w:tcPr>
            <w:tcW w:w="1240" w:type="pct"/>
            <w:noWrap w:val="0"/>
            <w:vAlign w:val="center"/>
          </w:tcPr>
          <w:p w14:paraId="0B1D569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《大气污染物综合排放标准》（GB16297-1996</w:t>
            </w:r>
            <w:r>
              <w:rPr>
                <w:rFonts w:hint="default" w:ascii="Times New Roman" w:hAnsi="Times New Roman" w:eastAsia="宋体" w:cs="Times New Roman"/>
                <w:color w:val="auto"/>
                <w:sz w:val="24"/>
                <w:szCs w:val="24"/>
                <w:highlight w:val="none"/>
                <w:lang w:eastAsia="zh-CN"/>
              </w:rPr>
              <w:t>）</w:t>
            </w:r>
          </w:p>
        </w:tc>
      </w:tr>
      <w:tr w14:paraId="480E1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610" w:type="pct"/>
            <w:noWrap w:val="0"/>
            <w:vAlign w:val="center"/>
          </w:tcPr>
          <w:p w14:paraId="648B25C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地表水环境</w:t>
            </w:r>
          </w:p>
        </w:tc>
        <w:tc>
          <w:tcPr>
            <w:tcW w:w="1145" w:type="pct"/>
            <w:noWrap w:val="0"/>
            <w:vAlign w:val="center"/>
          </w:tcPr>
          <w:p w14:paraId="6D3A7CC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eastAsia"/>
                <w:color w:val="auto"/>
                <w:spacing w:val="-3"/>
                <w:sz w:val="24"/>
                <w:szCs w:val="24"/>
                <w:highlight w:val="none"/>
                <w:lang w:eastAsia="zh-CN"/>
              </w:rPr>
            </w:pPr>
            <w:r>
              <w:rPr>
                <w:rFonts w:hint="default"/>
                <w:color w:val="auto"/>
                <w:spacing w:val="-3"/>
                <w:sz w:val="24"/>
                <w:szCs w:val="24"/>
                <w:highlight w:val="none"/>
              </w:rPr>
              <w:t>生活污水</w:t>
            </w:r>
            <w:r>
              <w:rPr>
                <w:rFonts w:hint="eastAsia"/>
                <w:color w:val="auto"/>
                <w:spacing w:val="-3"/>
                <w:sz w:val="24"/>
                <w:szCs w:val="24"/>
                <w:highlight w:val="none"/>
                <w:lang w:eastAsia="zh-CN"/>
              </w:rPr>
              <w:t>、</w:t>
            </w:r>
          </w:p>
          <w:p w14:paraId="405D6F4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4"/>
                <w:szCs w:val="24"/>
                <w:highlight w:val="none"/>
                <w:lang w:val="en-US" w:eastAsia="zh-CN"/>
              </w:rPr>
            </w:pPr>
            <w:r>
              <w:rPr>
                <w:rFonts w:hint="eastAsia"/>
                <w:color w:val="auto"/>
                <w:spacing w:val="-3"/>
                <w:sz w:val="24"/>
                <w:szCs w:val="24"/>
                <w:highlight w:val="none"/>
                <w:lang w:val="en-US" w:eastAsia="zh-CN"/>
              </w:rPr>
              <w:t>生产废水</w:t>
            </w:r>
          </w:p>
        </w:tc>
        <w:tc>
          <w:tcPr>
            <w:tcW w:w="646" w:type="pct"/>
            <w:noWrap w:val="0"/>
            <w:vAlign w:val="center"/>
          </w:tcPr>
          <w:p w14:paraId="326CDFB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BOD</w:t>
            </w:r>
            <w:r>
              <w:rPr>
                <w:rFonts w:hint="default" w:ascii="Times New Roman" w:hAnsi="Times New Roman" w:eastAsia="宋体" w:cs="Times New Roman"/>
                <w:color w:val="auto"/>
                <w:kern w:val="0"/>
                <w:sz w:val="24"/>
                <w:szCs w:val="24"/>
                <w:highlight w:val="none"/>
                <w:vertAlign w:val="subscript"/>
                <w:lang w:val="en-US" w:eastAsia="zh-CN"/>
              </w:rPr>
              <w:t>5</w:t>
            </w:r>
            <w:r>
              <w:rPr>
                <w:rFonts w:hint="default" w:ascii="Times New Roman" w:hAnsi="Times New Roman" w:eastAsia="宋体" w:cs="Times New Roman"/>
                <w:color w:val="auto"/>
                <w:kern w:val="0"/>
                <w:sz w:val="24"/>
                <w:szCs w:val="24"/>
                <w:highlight w:val="none"/>
                <w:lang w:val="en-US" w:eastAsia="zh-CN"/>
              </w:rPr>
              <w:t>、COD、SS、氨氮、</w:t>
            </w:r>
            <w:r>
              <w:rPr>
                <w:rFonts w:hint="eastAsia" w:cs="Times New Roman"/>
                <w:color w:val="auto"/>
                <w:kern w:val="0"/>
                <w:sz w:val="24"/>
                <w:szCs w:val="24"/>
                <w:highlight w:val="none"/>
                <w:lang w:val="en-US" w:eastAsia="zh-CN"/>
              </w:rPr>
              <w:t>总磷、总氮</w:t>
            </w:r>
          </w:p>
        </w:tc>
        <w:tc>
          <w:tcPr>
            <w:tcW w:w="1356" w:type="pct"/>
            <w:noWrap w:val="0"/>
            <w:vAlign w:val="center"/>
          </w:tcPr>
          <w:p w14:paraId="252EB49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生活污水及生产废水近期经厂区化粪池收集后，排入厂区的污水收集池，定期由槽车拉运至沣西新城大王污水处理厂处理；远期生活污水经化粪池收集后经市政管网排入沣西新城大王污水处理厂深度处理；设备冷却废水循环利用，定期更换的冷却废水经化粪池收集后由市政管网排入沣西新城大王污水处理厂深度处理</w:t>
            </w:r>
          </w:p>
        </w:tc>
        <w:tc>
          <w:tcPr>
            <w:tcW w:w="1240" w:type="pct"/>
            <w:noWrap w:val="0"/>
            <w:vAlign w:val="center"/>
          </w:tcPr>
          <w:p w14:paraId="2C7D4B1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《污水综合排放标准》（GB 8978-1996）表4中三级标准及《污水排入城镇下水道水质标准》（GB/T 31962-2015）表1中的B标准</w:t>
            </w:r>
          </w:p>
        </w:tc>
      </w:tr>
      <w:tr w14:paraId="3F05B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610" w:type="pct"/>
            <w:noWrap w:val="0"/>
            <w:vAlign w:val="center"/>
          </w:tcPr>
          <w:p w14:paraId="3DEF48C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w:t>
            </w:r>
          </w:p>
        </w:tc>
        <w:tc>
          <w:tcPr>
            <w:tcW w:w="1145" w:type="pct"/>
            <w:noWrap w:val="0"/>
            <w:vAlign w:val="center"/>
          </w:tcPr>
          <w:p w14:paraId="4E511AA8">
            <w:pPr>
              <w:keepNext w:val="0"/>
              <w:keepLines w:val="0"/>
              <w:pageBreakBefore w:val="0"/>
              <w:widowControl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厂界</w:t>
            </w:r>
          </w:p>
        </w:tc>
        <w:tc>
          <w:tcPr>
            <w:tcW w:w="646" w:type="pct"/>
            <w:noWrap w:val="0"/>
            <w:vAlign w:val="center"/>
          </w:tcPr>
          <w:p w14:paraId="3E18920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噪声</w:t>
            </w:r>
          </w:p>
        </w:tc>
        <w:tc>
          <w:tcPr>
            <w:tcW w:w="1356" w:type="pct"/>
            <w:noWrap w:val="0"/>
            <w:vAlign w:val="center"/>
          </w:tcPr>
          <w:p w14:paraId="247B3F1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低噪声设备、合</w:t>
            </w:r>
          </w:p>
          <w:p w14:paraId="625E877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理布置设备、基础减振、厂房隔声</w:t>
            </w:r>
          </w:p>
        </w:tc>
        <w:tc>
          <w:tcPr>
            <w:tcW w:w="1240" w:type="pct"/>
            <w:noWrap w:val="0"/>
            <w:vAlign w:val="center"/>
          </w:tcPr>
          <w:p w14:paraId="5CC8B75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color w:val="auto"/>
                <w:kern w:val="0"/>
                <w:sz w:val="24"/>
                <w:szCs w:val="24"/>
                <w:highlight w:val="none"/>
              </w:rPr>
              <w:t>《工业企业厂界噪声排放标准》（GB12348-2008）中的</w:t>
            </w:r>
            <w:r>
              <w:rPr>
                <w:rFonts w:hint="eastAsia" w:cs="Times New Roman"/>
                <w:b w:val="0"/>
                <w:bCs/>
                <w:color w:val="auto"/>
                <w:kern w:val="0"/>
                <w:sz w:val="24"/>
                <w:szCs w:val="24"/>
                <w:highlight w:val="none"/>
                <w:lang w:val="en-US" w:eastAsia="zh-CN"/>
              </w:rPr>
              <w:t>3</w:t>
            </w:r>
            <w:r>
              <w:rPr>
                <w:rFonts w:hint="default" w:ascii="Times New Roman" w:hAnsi="Times New Roman" w:eastAsia="宋体" w:cs="Times New Roman"/>
                <w:b w:val="0"/>
                <w:bCs/>
                <w:color w:val="auto"/>
                <w:kern w:val="0"/>
                <w:sz w:val="24"/>
                <w:szCs w:val="24"/>
                <w:highlight w:val="none"/>
              </w:rPr>
              <w:t>类标准</w:t>
            </w:r>
          </w:p>
        </w:tc>
      </w:tr>
      <w:tr w14:paraId="6D0B5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610" w:type="pct"/>
            <w:noWrap w:val="0"/>
            <w:vAlign w:val="center"/>
          </w:tcPr>
          <w:p w14:paraId="483FF20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电磁辐射</w:t>
            </w:r>
          </w:p>
        </w:tc>
        <w:tc>
          <w:tcPr>
            <w:tcW w:w="3148" w:type="pct"/>
            <w:gridSpan w:val="3"/>
            <w:noWrap w:val="0"/>
            <w:vAlign w:val="center"/>
          </w:tcPr>
          <w:p w14:paraId="7165821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240" w:type="pct"/>
            <w:noWrap w:val="0"/>
            <w:vAlign w:val="center"/>
          </w:tcPr>
          <w:p w14:paraId="1828CA3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14:paraId="6DE2A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610" w:type="pct"/>
            <w:noWrap w:val="0"/>
            <w:vAlign w:val="center"/>
          </w:tcPr>
          <w:p w14:paraId="4710D02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固体废物</w:t>
            </w:r>
          </w:p>
        </w:tc>
        <w:tc>
          <w:tcPr>
            <w:tcW w:w="4389" w:type="pct"/>
            <w:gridSpan w:val="4"/>
            <w:noWrap w:val="0"/>
            <w:vAlign w:val="center"/>
          </w:tcPr>
          <w:p w14:paraId="0D8B41DE">
            <w:pPr>
              <w:pStyle w:val="27"/>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项目生活垃圾集中分类收集后由环卫部门定期清运；废原料包装桶收集后暂存于一般固废暂存区，定期由原料供应单位回收再利用；废边角料和废金属屑收集后暂存于一般固废暂存区，外售处置；</w:t>
            </w:r>
            <w:r>
              <w:rPr>
                <w:rFonts w:hint="eastAsia" w:cs="Times New Roman"/>
                <w:color w:val="auto"/>
                <w:sz w:val="24"/>
                <w:szCs w:val="24"/>
                <w:highlight w:val="none"/>
                <w:lang w:val="en-US" w:eastAsia="zh-CN"/>
              </w:rPr>
              <w:t>不合格品</w:t>
            </w:r>
            <w:r>
              <w:rPr>
                <w:rFonts w:hint="default" w:ascii="Times New Roman" w:hAnsi="Times New Roman" w:eastAsia="宋体" w:cs="Times New Roman"/>
                <w:color w:val="auto"/>
                <w:sz w:val="24"/>
                <w:szCs w:val="24"/>
                <w:highlight w:val="none"/>
                <w:lang w:val="en-US" w:eastAsia="zh-CN"/>
              </w:rPr>
              <w:t>收集后暂存于一般固废暂存区，外售处置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样品废液、实验器皿清洗废水、乙醚清洗废液</w:t>
            </w:r>
            <w:r>
              <w:rPr>
                <w:rFonts w:hint="eastAsia" w:cs="Times New Roman"/>
                <w:color w:val="auto"/>
                <w:sz w:val="24"/>
                <w:szCs w:val="24"/>
                <w:highlight w:val="none"/>
                <w:lang w:val="en-US" w:eastAsia="zh-CN"/>
              </w:rPr>
              <w:t>、废试剂</w:t>
            </w:r>
            <w:r>
              <w:rPr>
                <w:rFonts w:hint="default" w:ascii="Times New Roman" w:hAnsi="Times New Roman" w:eastAsia="宋体" w:cs="Times New Roman"/>
                <w:color w:val="auto"/>
                <w:sz w:val="24"/>
                <w:szCs w:val="24"/>
                <w:highlight w:val="none"/>
                <w:lang w:val="en-US" w:eastAsia="zh-CN"/>
              </w:rPr>
              <w:t>收集在专用容器中，暂存于危险废物贮存库，定期交由有资质单位处置。</w:t>
            </w:r>
            <w:r>
              <w:rPr>
                <w:rFonts w:hint="eastAsia" w:cs="Times New Roman"/>
                <w:color w:val="auto"/>
                <w:sz w:val="24"/>
                <w:szCs w:val="24"/>
                <w:highlight w:val="none"/>
                <w:lang w:val="en-US" w:eastAsia="zh-CN"/>
              </w:rPr>
              <w:t>废试剂瓶</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废真空泵油、废液压油、废润滑油、废切削液、 废油桶及废含油抹布手套</w:t>
            </w:r>
            <w:r>
              <w:rPr>
                <w:rFonts w:hint="eastAsia" w:cs="Times New Roman"/>
                <w:color w:val="auto"/>
                <w:sz w:val="24"/>
                <w:szCs w:val="24"/>
                <w:highlight w:val="none"/>
                <w:lang w:val="en-US" w:eastAsia="zh-CN"/>
              </w:rPr>
              <w:t>、废活性炭、喷淋塔废水</w:t>
            </w:r>
            <w:r>
              <w:rPr>
                <w:rFonts w:hint="default" w:ascii="Times New Roman" w:hAnsi="Times New Roman" w:eastAsia="宋体" w:cs="Times New Roman"/>
                <w:color w:val="auto"/>
                <w:sz w:val="24"/>
                <w:szCs w:val="24"/>
                <w:highlight w:val="none"/>
                <w:lang w:val="en-US" w:eastAsia="zh-CN"/>
              </w:rPr>
              <w:t>收集后分类暂存于危险废物贮存库，定期交由有资质单位处置。</w:t>
            </w:r>
          </w:p>
        </w:tc>
      </w:tr>
      <w:tr w14:paraId="026D0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6" w:hRule="atLeast"/>
          <w:jc w:val="center"/>
        </w:trPr>
        <w:tc>
          <w:tcPr>
            <w:tcW w:w="610" w:type="pct"/>
            <w:noWrap w:val="0"/>
            <w:vAlign w:val="center"/>
          </w:tcPr>
          <w:p w14:paraId="5DDC9E3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土壤及地下水污染防治措施</w:t>
            </w:r>
          </w:p>
        </w:tc>
        <w:tc>
          <w:tcPr>
            <w:tcW w:w="4389" w:type="pct"/>
            <w:gridSpan w:val="4"/>
            <w:noWrap w:val="0"/>
            <w:vAlign w:val="center"/>
          </w:tcPr>
          <w:p w14:paraId="7EBE4007">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危废贮存库</w:t>
            </w:r>
            <w:r>
              <w:rPr>
                <w:rFonts w:hint="default" w:ascii="Times New Roman" w:hAnsi="Times New Roman" w:eastAsia="宋体" w:cs="Times New Roman"/>
                <w:bCs/>
                <w:color w:val="auto"/>
                <w:sz w:val="24"/>
                <w:szCs w:val="24"/>
                <w:highlight w:val="none"/>
              </w:rPr>
              <w:t>围堰进行处理，加强物料及危废管理，严禁</w:t>
            </w:r>
            <w:r>
              <w:rPr>
                <w:rFonts w:hint="eastAsia" w:cs="Times New Roman"/>
                <w:bCs/>
                <w:color w:val="auto"/>
                <w:sz w:val="24"/>
                <w:szCs w:val="24"/>
                <w:highlight w:val="none"/>
                <w:lang w:val="en-US" w:eastAsia="zh-CN"/>
              </w:rPr>
              <w:t>危险废物</w:t>
            </w:r>
            <w:r>
              <w:rPr>
                <w:rFonts w:hint="default" w:ascii="Times New Roman" w:hAnsi="Times New Roman" w:eastAsia="宋体" w:cs="Times New Roman"/>
                <w:bCs/>
                <w:color w:val="auto"/>
                <w:sz w:val="24"/>
                <w:szCs w:val="24"/>
                <w:highlight w:val="none"/>
              </w:rPr>
              <w:t>随手丢弃；</w:t>
            </w:r>
            <w:r>
              <w:rPr>
                <w:rFonts w:hint="default" w:ascii="Times New Roman" w:hAnsi="Times New Roman" w:eastAsia="宋体" w:cs="Times New Roman"/>
                <w:color w:val="auto"/>
                <w:kern w:val="0"/>
                <w:sz w:val="24"/>
                <w:szCs w:val="24"/>
                <w:highlight w:val="none"/>
              </w:rPr>
              <w:t>项目占地范围内全部硬化，并进行防渗处理</w:t>
            </w:r>
            <w:r>
              <w:rPr>
                <w:rFonts w:hint="default" w:ascii="Times New Roman" w:hAnsi="Times New Roman" w:eastAsia="宋体" w:cs="Times New Roman"/>
                <w:color w:val="auto"/>
                <w:sz w:val="24"/>
                <w:szCs w:val="24"/>
                <w:highlight w:val="none"/>
                <w:lang w:eastAsia="zh-CN"/>
              </w:rPr>
              <w:t>。</w:t>
            </w:r>
          </w:p>
        </w:tc>
      </w:tr>
      <w:tr w14:paraId="36369D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10" w:type="pct"/>
            <w:noWrap w:val="0"/>
            <w:vAlign w:val="center"/>
          </w:tcPr>
          <w:p w14:paraId="774A2FE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生态保护措施</w:t>
            </w:r>
          </w:p>
        </w:tc>
        <w:tc>
          <w:tcPr>
            <w:tcW w:w="4389" w:type="pct"/>
            <w:gridSpan w:val="4"/>
            <w:noWrap w:val="0"/>
            <w:vAlign w:val="center"/>
          </w:tcPr>
          <w:p w14:paraId="22C5E31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lang w:val="en-US" w:eastAsia="zh-CN"/>
              </w:rPr>
              <w:t>加强生产车间周边的绿化工作，充分利用绿色植物在交换空气、改善环境、保持生态平衡等方面的重要作用。</w:t>
            </w:r>
          </w:p>
        </w:tc>
      </w:tr>
      <w:tr w14:paraId="17975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33" w:hRule="atLeast"/>
          <w:jc w:val="center"/>
        </w:trPr>
        <w:tc>
          <w:tcPr>
            <w:tcW w:w="610" w:type="pct"/>
            <w:noWrap w:val="0"/>
            <w:vAlign w:val="center"/>
          </w:tcPr>
          <w:p w14:paraId="6FEEA87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环境风险防范措施</w:t>
            </w:r>
          </w:p>
        </w:tc>
        <w:tc>
          <w:tcPr>
            <w:tcW w:w="4389" w:type="pct"/>
            <w:gridSpan w:val="4"/>
            <w:noWrap w:val="0"/>
            <w:vAlign w:val="center"/>
          </w:tcPr>
          <w:p w14:paraId="439056E3">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加强设备的维修、保养，杜绝由于设备劳损、折旧带来的事故隐患；加强职工的安全教育，</w:t>
            </w:r>
            <w:r>
              <w:rPr>
                <w:rFonts w:hint="default" w:ascii="Times New Roman" w:hAnsi="Times New Roman" w:eastAsia="宋体" w:cs="Times New Roman"/>
                <w:color w:val="auto"/>
                <w:sz w:val="24"/>
                <w:szCs w:val="24"/>
                <w:highlight w:val="none"/>
                <w:lang w:eastAsia="zh-CN" w:bidi="ar"/>
              </w:rPr>
              <w:t>增强</w:t>
            </w:r>
            <w:r>
              <w:rPr>
                <w:rFonts w:hint="default" w:ascii="Times New Roman" w:hAnsi="Times New Roman" w:eastAsia="宋体" w:cs="Times New Roman"/>
                <w:color w:val="auto"/>
                <w:sz w:val="24"/>
                <w:szCs w:val="24"/>
                <w:highlight w:val="none"/>
                <w:lang w:bidi="ar"/>
              </w:rPr>
              <w:t>安全防范意识；加强库房及</w:t>
            </w:r>
            <w:r>
              <w:rPr>
                <w:rFonts w:hint="default" w:ascii="Times New Roman" w:hAnsi="Times New Roman" w:eastAsia="宋体" w:cs="Times New Roman"/>
                <w:color w:val="auto"/>
                <w:sz w:val="24"/>
                <w:szCs w:val="24"/>
                <w:highlight w:val="none"/>
                <w:lang w:eastAsia="zh-CN" w:bidi="ar"/>
              </w:rPr>
              <w:t>危废贮存库</w:t>
            </w:r>
            <w:r>
              <w:rPr>
                <w:rFonts w:hint="default" w:ascii="Times New Roman" w:hAnsi="Times New Roman" w:eastAsia="宋体" w:cs="Times New Roman"/>
                <w:color w:val="auto"/>
                <w:sz w:val="24"/>
                <w:szCs w:val="24"/>
                <w:highlight w:val="none"/>
                <w:lang w:bidi="ar"/>
              </w:rPr>
              <w:t>管理，生产车间、库房、</w:t>
            </w:r>
            <w:r>
              <w:rPr>
                <w:rFonts w:hint="default" w:ascii="Times New Roman" w:hAnsi="Times New Roman" w:eastAsia="宋体" w:cs="Times New Roman"/>
                <w:color w:val="auto"/>
                <w:sz w:val="24"/>
                <w:szCs w:val="24"/>
                <w:highlight w:val="none"/>
                <w:lang w:eastAsia="zh-CN" w:bidi="ar"/>
              </w:rPr>
              <w:t>危废贮存库</w:t>
            </w:r>
            <w:r>
              <w:rPr>
                <w:rFonts w:hint="default" w:ascii="Times New Roman" w:hAnsi="Times New Roman" w:eastAsia="宋体" w:cs="Times New Roman"/>
                <w:color w:val="auto"/>
                <w:sz w:val="24"/>
                <w:szCs w:val="24"/>
                <w:highlight w:val="none"/>
                <w:lang w:bidi="ar"/>
              </w:rPr>
              <w:t>进行防渗处理，厂区进行硬化；厂区配置消防器材及灭火器材。</w:t>
            </w:r>
          </w:p>
        </w:tc>
      </w:tr>
      <w:tr w14:paraId="146B3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33" w:hRule="atLeast"/>
          <w:jc w:val="center"/>
        </w:trPr>
        <w:tc>
          <w:tcPr>
            <w:tcW w:w="610" w:type="pct"/>
            <w:noWrap w:val="0"/>
            <w:vAlign w:val="center"/>
          </w:tcPr>
          <w:p w14:paraId="3DAB52F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其他环境管理要求</w:t>
            </w:r>
          </w:p>
        </w:tc>
        <w:tc>
          <w:tcPr>
            <w:tcW w:w="4389" w:type="pct"/>
            <w:gridSpan w:val="4"/>
            <w:noWrap w:val="0"/>
            <w:vAlign w:val="center"/>
          </w:tcPr>
          <w:p w14:paraId="325BD4F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①</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三同时</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制度</w:t>
            </w:r>
          </w:p>
          <w:p w14:paraId="1CA444F9">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按照设计和建设单位认真落实废气、污（废）水、固废、噪声等防治措施。</w:t>
            </w:r>
          </w:p>
          <w:p w14:paraId="4F067D5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②环境管理制度</w:t>
            </w:r>
          </w:p>
          <w:p w14:paraId="26BBB35F">
            <w:pPr>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加强环保设施的管理，由安环部负责落实废气、废水、固废等的治理。建立岗位责任制和工作台账制度，对污染防治情况进行定时监测，及时掌握污染治理设施的运行情况，做好各项污染物的达标排放工作。</w:t>
            </w:r>
          </w:p>
          <w:p w14:paraId="47946559">
            <w:pPr>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③排污许可制度</w:t>
            </w:r>
          </w:p>
          <w:p w14:paraId="4F67F72A">
            <w:pPr>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根据《固定污染源排污许可分类管理名录》（2019年版）、《排污许可证申请与核发技术规范总则》(HJ942—2018)，</w:t>
            </w:r>
            <w:r>
              <w:rPr>
                <w:rFonts w:hint="default" w:ascii="Times New Roman" w:hAnsi="Times New Roman" w:eastAsia="宋体" w:cs="Times New Roman"/>
                <w:b w:val="0"/>
                <w:bCs w:val="0"/>
                <w:color w:val="auto"/>
                <w:kern w:val="0"/>
                <w:sz w:val="24"/>
                <w:szCs w:val="24"/>
                <w:highlight w:val="none"/>
                <w:lang w:val="en-US" w:eastAsia="zh-CN"/>
              </w:rPr>
              <w:t>建设单位应及时填报，合法排污。</w:t>
            </w:r>
          </w:p>
          <w:p w14:paraId="07CCC44B">
            <w:pPr>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④竣工验收</w:t>
            </w:r>
          </w:p>
          <w:p w14:paraId="5C16A3AD">
            <w:pPr>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根据《建设项目竣工环境保护验收暂行办法》（国环规环评[2017]4号），建设单位自行验收。验收合格后，方可投入生产或使用。</w:t>
            </w:r>
          </w:p>
          <w:p w14:paraId="47EAED5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⑤排污口规范化</w:t>
            </w:r>
          </w:p>
          <w:p w14:paraId="75C6BEC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建设单位应在各个排污口处</w:t>
            </w:r>
            <w:r>
              <w:rPr>
                <w:rFonts w:hint="eastAsia" w:cs="Times New Roman"/>
                <w:b w:val="0"/>
                <w:bCs w:val="0"/>
                <w:color w:val="auto"/>
                <w:kern w:val="0"/>
                <w:sz w:val="24"/>
                <w:szCs w:val="24"/>
                <w:highlight w:val="none"/>
                <w:lang w:val="en-US" w:eastAsia="zh-CN"/>
              </w:rPr>
              <w:t>竖立</w:t>
            </w:r>
            <w:r>
              <w:rPr>
                <w:rFonts w:hint="default" w:ascii="Times New Roman" w:hAnsi="Times New Roman" w:eastAsia="宋体" w:cs="Times New Roman"/>
                <w:b w:val="0"/>
                <w:bCs w:val="0"/>
                <w:color w:val="auto"/>
                <w:kern w:val="0"/>
                <w:sz w:val="24"/>
                <w:szCs w:val="24"/>
                <w:highlight w:val="none"/>
                <w:lang w:val="en-US" w:eastAsia="zh-CN"/>
              </w:rPr>
              <w:t>标志牌，建立排污口管理的专门档案；排污口性质和编号，位置，排放主要污染物种类、数量、浓度，排放去向，达标情况，治理设施运行情况。</w:t>
            </w:r>
          </w:p>
          <w:p w14:paraId="51B12AE2">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⑥环境风险防范管理制度</w:t>
            </w:r>
          </w:p>
          <w:p w14:paraId="70E06A9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b w:val="0"/>
                <w:bCs w:val="0"/>
                <w:color w:val="auto"/>
                <w:kern w:val="0"/>
                <w:sz w:val="24"/>
                <w:szCs w:val="24"/>
                <w:highlight w:val="none"/>
                <w:lang w:val="en-US" w:eastAsia="zh-CN"/>
              </w:rPr>
              <w:t>认真落实环境风险防范和应急措施，全面提高环境保护监管水平，有效防范环境风险。项目建成后，建设单位需按照《突发环境事件应急预案管理办法》（环境保护部</w:t>
            </w:r>
            <w:r>
              <w:rPr>
                <w:rFonts w:hint="default" w:ascii="Times New Roman" w:hAnsi="Times New Roman" w:eastAsia="宋体" w:cs="Times New Roman"/>
                <w:color w:val="auto"/>
                <w:sz w:val="24"/>
                <w:szCs w:val="24"/>
                <w:highlight w:val="none"/>
                <w:lang w:val="en-US" w:eastAsia="zh-CN"/>
              </w:rPr>
              <w:t>令 34 号）；《企业突发环境事件风险分级方法》（HJ941-2018）编制环境风险应急预案。应急预案的主要内容包括预案适用范围、环境事件分类与分级、组织机构和职责、监控和预警、应急和预警、应急响应、应急保障、善后处理、预案管理和演练等内容。须认真落</w:t>
            </w:r>
          </w:p>
        </w:tc>
      </w:tr>
      <w:tr w14:paraId="322AA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33" w:hRule="atLeast"/>
          <w:jc w:val="center"/>
        </w:trPr>
        <w:tc>
          <w:tcPr>
            <w:tcW w:w="610" w:type="pct"/>
            <w:noWrap w:val="0"/>
            <w:vAlign w:val="center"/>
          </w:tcPr>
          <w:p w14:paraId="1868F17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8"/>
                <w:sz w:val="24"/>
                <w:szCs w:val="24"/>
                <w:highlight w:val="none"/>
              </w:rPr>
            </w:pPr>
          </w:p>
        </w:tc>
        <w:tc>
          <w:tcPr>
            <w:tcW w:w="4389" w:type="pct"/>
            <w:gridSpan w:val="4"/>
            <w:noWrap w:val="0"/>
            <w:vAlign w:val="center"/>
          </w:tcPr>
          <w:p w14:paraId="1BD765D1">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right="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实企业环境应急预案，并对环境风险应急预案进行备案。</w:t>
            </w:r>
          </w:p>
          <w:p w14:paraId="7D96C6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⑦企业信息公开制度</w:t>
            </w:r>
          </w:p>
          <w:p w14:paraId="26216D82">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企业环境信息依法披露管理办法</w:t>
            </w:r>
            <w:r>
              <w:rPr>
                <w:rFonts w:hint="default" w:ascii="Times New Roman" w:hAnsi="Times New Roman" w:eastAsia="宋体" w:cs="Times New Roman"/>
                <w:color w:val="auto"/>
                <w:sz w:val="24"/>
                <w:szCs w:val="24"/>
                <w:highlight w:val="none"/>
                <w:lang w:val="en-US" w:eastAsia="zh-CN"/>
              </w:rPr>
              <w:t>》（中华人民共和国生态环境部令第</w:t>
            </w: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号）</w:t>
            </w:r>
            <w:r>
              <w:rPr>
                <w:rFonts w:hint="default" w:ascii="Times New Roman" w:hAnsi="Times New Roman" w:eastAsia="宋体" w:cs="Times New Roman"/>
                <w:color w:val="auto"/>
                <w:sz w:val="24"/>
                <w:szCs w:val="24"/>
                <w:highlight w:val="none"/>
                <w:lang w:val="en-US" w:eastAsia="zh-CN"/>
              </w:rPr>
              <w:t>的规定，并结合当地的要求，应及时、如实地公开其环境信息，应当在单位内部建立环境信息公开制度，设专人负责环境信息公开的日常工作。</w:t>
            </w:r>
          </w:p>
          <w:p w14:paraId="0D440A9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⑧环境监测</w:t>
            </w:r>
          </w:p>
          <w:p w14:paraId="758DB029">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按照监测计划的频次和要求进行监测，并保留监测原始记录，每次数据应及时由专人整理、统计，如有异常，立即向上级有关部门通报，并做好监测资料的归档、备查工作，建议建设单位定期将监测数据上墙公示，接受公众监督。</w:t>
            </w:r>
          </w:p>
          <w:p w14:paraId="2BF5F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rPr>
              <w:t>表5-1  项目例行</w:t>
            </w:r>
            <w:r>
              <w:rPr>
                <w:rFonts w:hint="default" w:ascii="Times New Roman" w:hAnsi="Times New Roman" w:eastAsia="宋体" w:cs="Times New Roman"/>
                <w:b/>
                <w:bCs/>
                <w:color w:val="auto"/>
                <w:sz w:val="24"/>
                <w:szCs w:val="24"/>
                <w:highlight w:val="none"/>
              </w:rPr>
              <w:t>监测计划</w:t>
            </w:r>
            <w:r>
              <w:rPr>
                <w:rFonts w:hint="default" w:ascii="Times New Roman" w:hAnsi="Times New Roman" w:eastAsia="宋体" w:cs="Times New Roman"/>
                <w:b/>
                <w:bCs/>
                <w:color w:val="auto"/>
                <w:sz w:val="24"/>
                <w:szCs w:val="24"/>
                <w:highlight w:val="none"/>
                <w:lang w:val="en-US" w:eastAsia="zh-CN"/>
              </w:rPr>
              <w:t>表</w:t>
            </w:r>
          </w:p>
          <w:tbl>
            <w:tblPr>
              <w:tblStyle w:val="28"/>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054"/>
              <w:gridCol w:w="1218"/>
              <w:gridCol w:w="1768"/>
              <w:gridCol w:w="1262"/>
              <w:gridCol w:w="1653"/>
            </w:tblGrid>
            <w:tr w14:paraId="3BF38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gridSpan w:val="2"/>
                  <w:tcBorders>
                    <w:tl2br w:val="nil"/>
                    <w:tr2bl w:val="nil"/>
                  </w:tcBorders>
                  <w:noWrap w:val="0"/>
                  <w:vAlign w:val="center"/>
                </w:tcPr>
                <w:p w14:paraId="01D6DA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类别</w:t>
                  </w:r>
                </w:p>
              </w:tc>
              <w:tc>
                <w:tcPr>
                  <w:tcW w:w="791" w:type="pct"/>
                  <w:tcBorders>
                    <w:tl2br w:val="nil"/>
                    <w:tr2bl w:val="nil"/>
                  </w:tcBorders>
                  <w:noWrap w:val="0"/>
                  <w:vAlign w:val="center"/>
                </w:tcPr>
                <w:p w14:paraId="16F219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监测</w:t>
                  </w:r>
                </w:p>
                <w:p w14:paraId="6D4092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项目</w:t>
                  </w:r>
                </w:p>
              </w:tc>
              <w:tc>
                <w:tcPr>
                  <w:tcW w:w="1148" w:type="pct"/>
                  <w:tcBorders>
                    <w:tl2br w:val="nil"/>
                    <w:tr2bl w:val="nil"/>
                  </w:tcBorders>
                  <w:noWrap w:val="0"/>
                  <w:vAlign w:val="center"/>
                </w:tcPr>
                <w:p w14:paraId="6BFAD0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监测点位置</w:t>
                  </w:r>
                </w:p>
              </w:tc>
              <w:tc>
                <w:tcPr>
                  <w:tcW w:w="820" w:type="pct"/>
                  <w:tcBorders>
                    <w:tl2br w:val="nil"/>
                    <w:tr2bl w:val="nil"/>
                  </w:tcBorders>
                  <w:noWrap w:val="0"/>
                  <w:vAlign w:val="center"/>
                </w:tcPr>
                <w:p w14:paraId="2D81EC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频率</w:t>
                  </w:r>
                </w:p>
              </w:tc>
              <w:tc>
                <w:tcPr>
                  <w:tcW w:w="1074" w:type="pct"/>
                  <w:tcBorders>
                    <w:tl2br w:val="nil"/>
                    <w:tr2bl w:val="nil"/>
                  </w:tcBorders>
                  <w:noWrap w:val="0"/>
                  <w:vAlign w:val="center"/>
                </w:tcPr>
                <w:p w14:paraId="7CC637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控制指标</w:t>
                  </w:r>
                </w:p>
              </w:tc>
            </w:tr>
            <w:tr w14:paraId="3DBEB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restart"/>
                  <w:tcBorders>
                    <w:tl2br w:val="nil"/>
                    <w:tr2bl w:val="nil"/>
                  </w:tcBorders>
                  <w:noWrap w:val="0"/>
                  <w:vAlign w:val="center"/>
                </w:tcPr>
                <w:p w14:paraId="5DC946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bidi="ar"/>
                    </w:rPr>
                  </w:pPr>
                </w:p>
                <w:p w14:paraId="7BCEE8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废气</w:t>
                  </w:r>
                </w:p>
                <w:p w14:paraId="34488F6B">
                  <w:pPr>
                    <w:pStyle w:val="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84" w:type="pct"/>
                  <w:tcBorders>
                    <w:tl2br w:val="nil"/>
                    <w:tr2bl w:val="nil"/>
                  </w:tcBorders>
                  <w:noWrap w:val="0"/>
                  <w:vAlign w:val="center"/>
                </w:tcPr>
                <w:p w14:paraId="7259C00F">
                  <w:pPr>
                    <w:pStyle w:val="23"/>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有组织</w:t>
                  </w:r>
                </w:p>
              </w:tc>
              <w:tc>
                <w:tcPr>
                  <w:tcW w:w="791" w:type="pct"/>
                  <w:tcBorders>
                    <w:tl2br w:val="nil"/>
                    <w:tr2bl w:val="nil"/>
                  </w:tcBorders>
                  <w:noWrap w:val="0"/>
                  <w:vAlign w:val="center"/>
                </w:tcPr>
                <w:p w14:paraId="0FCE12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氯化氢、硫酸雾、氟化物、氮氧化物、</w:t>
                  </w:r>
                  <w:r>
                    <w:rPr>
                      <w:rFonts w:hint="default" w:ascii="Times New Roman" w:hAnsi="Times New Roman" w:eastAsia="宋体" w:cs="Times New Roman"/>
                      <w:bCs/>
                      <w:color w:val="auto"/>
                      <w:sz w:val="21"/>
                      <w:szCs w:val="21"/>
                      <w:highlight w:val="none"/>
                      <w:lang w:bidi="ar"/>
                    </w:rPr>
                    <w:t>非甲烷总烃</w:t>
                  </w:r>
                </w:p>
              </w:tc>
              <w:tc>
                <w:tcPr>
                  <w:tcW w:w="1148" w:type="pct"/>
                  <w:tcBorders>
                    <w:tl2br w:val="nil"/>
                    <w:tr2bl w:val="nil"/>
                  </w:tcBorders>
                  <w:noWrap w:val="0"/>
                  <w:vAlign w:val="center"/>
                </w:tcPr>
                <w:p w14:paraId="05FFB7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DA001</w:t>
                  </w:r>
                </w:p>
              </w:tc>
              <w:tc>
                <w:tcPr>
                  <w:tcW w:w="820" w:type="pct"/>
                  <w:tcBorders>
                    <w:tl2br w:val="nil"/>
                    <w:tr2bl w:val="nil"/>
                  </w:tcBorders>
                  <w:noWrap w:val="0"/>
                  <w:vAlign w:val="center"/>
                </w:tcPr>
                <w:p w14:paraId="4ACE40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val="en-US" w:eastAsia="zh-CN"/>
                    </w:rPr>
                    <w:t>/年</w:t>
                  </w:r>
                </w:p>
              </w:tc>
              <w:tc>
                <w:tcPr>
                  <w:tcW w:w="1074" w:type="pct"/>
                  <w:tcBorders>
                    <w:tl2br w:val="nil"/>
                    <w:tr2bl w:val="nil"/>
                  </w:tcBorders>
                  <w:noWrap w:val="0"/>
                  <w:vAlign w:val="center"/>
                </w:tcPr>
                <w:p w14:paraId="7237AA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《大气污染物综合排放标准》（GB16297-1996）</w:t>
                  </w:r>
                </w:p>
              </w:tc>
            </w:tr>
            <w:tr w14:paraId="16E5B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continue"/>
                  <w:tcBorders>
                    <w:tl2br w:val="nil"/>
                    <w:tr2bl w:val="nil"/>
                  </w:tcBorders>
                  <w:noWrap w:val="0"/>
                  <w:vAlign w:val="center"/>
                </w:tcPr>
                <w:p w14:paraId="59028265">
                  <w:pPr>
                    <w:pStyle w:val="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84" w:type="pct"/>
                  <w:vMerge w:val="restart"/>
                  <w:tcBorders>
                    <w:tl2br w:val="nil"/>
                    <w:tr2bl w:val="nil"/>
                  </w:tcBorders>
                  <w:noWrap w:val="0"/>
                  <w:vAlign w:val="center"/>
                </w:tcPr>
                <w:p w14:paraId="044DFC36">
                  <w:pPr>
                    <w:pStyle w:val="23"/>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无组织</w:t>
                  </w:r>
                </w:p>
              </w:tc>
              <w:tc>
                <w:tcPr>
                  <w:tcW w:w="1218" w:type="dxa"/>
                  <w:tcBorders>
                    <w:tl2br w:val="nil"/>
                    <w:tr2bl w:val="nil"/>
                  </w:tcBorders>
                  <w:noWrap w:val="0"/>
                  <w:vAlign w:val="center"/>
                </w:tcPr>
                <w:p w14:paraId="305172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氯化氢、硫酸雾、氟化物、氮氧化物、</w:t>
                  </w:r>
                  <w:r>
                    <w:rPr>
                      <w:rFonts w:hint="default" w:ascii="Times New Roman" w:hAnsi="Times New Roman" w:eastAsia="宋体" w:cs="Times New Roman"/>
                      <w:bCs/>
                      <w:color w:val="auto"/>
                      <w:sz w:val="21"/>
                      <w:szCs w:val="21"/>
                      <w:highlight w:val="none"/>
                      <w:lang w:bidi="ar"/>
                    </w:rPr>
                    <w:t>非甲烷总烃</w:t>
                  </w:r>
                </w:p>
              </w:tc>
              <w:tc>
                <w:tcPr>
                  <w:tcW w:w="1768" w:type="dxa"/>
                  <w:tcBorders>
                    <w:tl2br w:val="nil"/>
                    <w:tr2bl w:val="nil"/>
                  </w:tcBorders>
                  <w:noWrap w:val="0"/>
                  <w:vAlign w:val="center"/>
                </w:tcPr>
                <w:p w14:paraId="767193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厂界上风向1个</w:t>
                  </w:r>
                  <w:r>
                    <w:rPr>
                      <w:rFonts w:hint="default" w:ascii="Times New Roman" w:hAnsi="Times New Roman" w:eastAsia="宋体" w:cs="Times New Roman"/>
                      <w:color w:val="auto"/>
                      <w:sz w:val="21"/>
                      <w:szCs w:val="21"/>
                      <w:highlight w:val="none"/>
                      <w:lang w:eastAsia="zh-CN"/>
                    </w:rPr>
                    <w:t>参照点</w:t>
                  </w:r>
                  <w:r>
                    <w:rPr>
                      <w:rFonts w:hint="default" w:ascii="Times New Roman" w:hAnsi="Times New Roman" w:eastAsia="宋体" w:cs="Times New Roman"/>
                      <w:color w:val="auto"/>
                      <w:sz w:val="21"/>
                      <w:szCs w:val="21"/>
                      <w:highlight w:val="none"/>
                    </w:rPr>
                    <w:t>、下风向3个</w:t>
                  </w:r>
                  <w:r>
                    <w:rPr>
                      <w:rFonts w:hint="default" w:ascii="Times New Roman" w:hAnsi="Times New Roman" w:eastAsia="宋体" w:cs="Times New Roman"/>
                      <w:color w:val="auto"/>
                      <w:sz w:val="21"/>
                      <w:szCs w:val="21"/>
                      <w:highlight w:val="none"/>
                      <w:lang w:eastAsia="zh-CN"/>
                    </w:rPr>
                    <w:t>监控点</w:t>
                  </w:r>
                </w:p>
              </w:tc>
              <w:tc>
                <w:tcPr>
                  <w:tcW w:w="820" w:type="pct"/>
                  <w:tcBorders>
                    <w:tl2br w:val="nil"/>
                    <w:tr2bl w:val="nil"/>
                  </w:tcBorders>
                  <w:noWrap w:val="0"/>
                  <w:vAlign w:val="center"/>
                </w:tcPr>
                <w:p w14:paraId="5D5268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val="en-US" w:eastAsia="zh-CN"/>
                    </w:rPr>
                    <w:t>/年</w:t>
                  </w:r>
                </w:p>
              </w:tc>
              <w:tc>
                <w:tcPr>
                  <w:tcW w:w="1074" w:type="pct"/>
                  <w:tcBorders>
                    <w:tl2br w:val="nil"/>
                    <w:tr2bl w:val="nil"/>
                  </w:tcBorders>
                  <w:noWrap w:val="0"/>
                  <w:vAlign w:val="center"/>
                </w:tcPr>
                <w:p w14:paraId="3E2DFA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《大气污染物综合排放标准》（GB16297-1996）</w:t>
                  </w:r>
                </w:p>
              </w:tc>
            </w:tr>
            <w:tr w14:paraId="43903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continue"/>
                  <w:tcBorders>
                    <w:tl2br w:val="nil"/>
                    <w:tr2bl w:val="nil"/>
                  </w:tcBorders>
                  <w:noWrap w:val="0"/>
                  <w:vAlign w:val="center"/>
                </w:tcPr>
                <w:p w14:paraId="2ABFE411">
                  <w:pPr>
                    <w:pStyle w:val="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84" w:type="pct"/>
                  <w:vMerge w:val="continue"/>
                  <w:tcBorders>
                    <w:tl2br w:val="nil"/>
                    <w:tr2bl w:val="nil"/>
                  </w:tcBorders>
                  <w:noWrap w:val="0"/>
                  <w:vAlign w:val="center"/>
                </w:tcPr>
                <w:p w14:paraId="0F0E9FE7">
                  <w:pPr>
                    <w:pStyle w:val="23"/>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1218" w:type="dxa"/>
                  <w:tcBorders>
                    <w:tl2br w:val="nil"/>
                    <w:tr2bl w:val="nil"/>
                  </w:tcBorders>
                  <w:noWrap w:val="0"/>
                  <w:vAlign w:val="center"/>
                </w:tcPr>
                <w:p w14:paraId="3D90F7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bidi="ar"/>
                    </w:rPr>
                  </w:pPr>
                  <w:r>
                    <w:rPr>
                      <w:rFonts w:hint="default" w:ascii="Times New Roman" w:hAnsi="Times New Roman" w:eastAsia="宋体" w:cs="Times New Roman"/>
                      <w:bCs/>
                      <w:color w:val="auto"/>
                      <w:sz w:val="21"/>
                      <w:szCs w:val="21"/>
                      <w:highlight w:val="none"/>
                      <w:lang w:bidi="ar"/>
                    </w:rPr>
                    <w:t>非甲烷</w:t>
                  </w:r>
                </w:p>
                <w:p w14:paraId="0819AF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bidi="ar"/>
                    </w:rPr>
                    <w:t>总烃</w:t>
                  </w:r>
                </w:p>
              </w:tc>
              <w:tc>
                <w:tcPr>
                  <w:tcW w:w="1768" w:type="dxa"/>
                  <w:tcBorders>
                    <w:tl2br w:val="nil"/>
                    <w:tr2bl w:val="nil"/>
                  </w:tcBorders>
                  <w:noWrap w:val="0"/>
                  <w:vAlign w:val="center"/>
                </w:tcPr>
                <w:p w14:paraId="3BB577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厂房外</w:t>
                  </w:r>
                  <w:r>
                    <w:rPr>
                      <w:rFonts w:hint="default" w:ascii="Times New Roman" w:hAnsi="Times New Roman" w:eastAsia="宋体" w:cs="Times New Roman"/>
                      <w:color w:val="auto"/>
                      <w:sz w:val="21"/>
                      <w:szCs w:val="21"/>
                      <w:highlight w:val="none"/>
                    </w:rPr>
                    <w:t>监控点</w:t>
                  </w:r>
                </w:p>
              </w:tc>
              <w:tc>
                <w:tcPr>
                  <w:tcW w:w="820" w:type="pct"/>
                  <w:tcBorders>
                    <w:tl2br w:val="nil"/>
                    <w:tr2bl w:val="nil"/>
                  </w:tcBorders>
                  <w:noWrap w:val="0"/>
                  <w:vAlign w:val="center"/>
                </w:tcPr>
                <w:p w14:paraId="73CC8C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val="en-US" w:eastAsia="zh-CN"/>
                    </w:rPr>
                    <w:t>/年</w:t>
                  </w:r>
                </w:p>
              </w:tc>
              <w:tc>
                <w:tcPr>
                  <w:tcW w:w="1074" w:type="pct"/>
                  <w:tcBorders>
                    <w:tl2br w:val="nil"/>
                    <w:tr2bl w:val="nil"/>
                  </w:tcBorders>
                  <w:noWrap w:val="0"/>
                  <w:vAlign w:val="center"/>
                </w:tcPr>
                <w:p w14:paraId="17EB83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rPr>
                    <w:t>《挥发性有机物无组织排放控制标准》（GB 37822-2019）</w:t>
                  </w:r>
                </w:p>
              </w:tc>
            </w:tr>
            <w:tr w14:paraId="2B128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0"/>
                  <w:vAlign w:val="center"/>
                </w:tcPr>
                <w:p w14:paraId="17BAFC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噪声</w:t>
                  </w:r>
                </w:p>
              </w:tc>
              <w:tc>
                <w:tcPr>
                  <w:tcW w:w="684" w:type="pct"/>
                  <w:tcBorders>
                    <w:tl2br w:val="nil"/>
                    <w:tr2bl w:val="nil"/>
                  </w:tcBorders>
                  <w:noWrap w:val="0"/>
                  <w:vAlign w:val="center"/>
                </w:tcPr>
                <w:p w14:paraId="77A90021">
                  <w:pPr>
                    <w:pStyle w:val="23"/>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L</w:t>
                  </w:r>
                  <w:r>
                    <w:rPr>
                      <w:rFonts w:hint="default" w:ascii="Times New Roman" w:hAnsi="Times New Roman" w:eastAsia="宋体" w:cs="Times New Roman"/>
                      <w:color w:val="auto"/>
                      <w:sz w:val="21"/>
                      <w:szCs w:val="21"/>
                      <w:highlight w:val="none"/>
                      <w:vertAlign w:val="subscript"/>
                      <w:lang w:val="en-US" w:eastAsia="zh-CN" w:bidi="ar"/>
                    </w:rPr>
                    <w:t>Aeq</w:t>
                  </w:r>
                </w:p>
              </w:tc>
              <w:tc>
                <w:tcPr>
                  <w:tcW w:w="791" w:type="pct"/>
                  <w:tcBorders>
                    <w:tl2br w:val="nil"/>
                    <w:tr2bl w:val="nil"/>
                  </w:tcBorders>
                  <w:noWrap w:val="0"/>
                  <w:vAlign w:val="center"/>
                </w:tcPr>
                <w:p w14:paraId="70E9C94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等效连续A声级</w:t>
                  </w:r>
                </w:p>
              </w:tc>
              <w:tc>
                <w:tcPr>
                  <w:tcW w:w="1148" w:type="pct"/>
                  <w:tcBorders>
                    <w:tl2br w:val="nil"/>
                    <w:tr2bl w:val="nil"/>
                  </w:tcBorders>
                  <w:noWrap w:val="0"/>
                  <w:vAlign w:val="center"/>
                </w:tcPr>
                <w:p w14:paraId="2BC2F77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厂界</w:t>
                  </w:r>
                </w:p>
              </w:tc>
              <w:tc>
                <w:tcPr>
                  <w:tcW w:w="820" w:type="pct"/>
                  <w:tcBorders>
                    <w:tl2br w:val="nil"/>
                    <w:tr2bl w:val="nil"/>
                  </w:tcBorders>
                  <w:noWrap w:val="0"/>
                  <w:vAlign w:val="center"/>
                </w:tcPr>
                <w:p w14:paraId="6C63A7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1季度/次</w:t>
                  </w:r>
                </w:p>
              </w:tc>
              <w:tc>
                <w:tcPr>
                  <w:tcW w:w="1074" w:type="pct"/>
                  <w:tcBorders>
                    <w:tl2br w:val="nil"/>
                    <w:tr2bl w:val="nil"/>
                  </w:tcBorders>
                  <w:noWrap w:val="0"/>
                  <w:vAlign w:val="center"/>
                </w:tcPr>
                <w:p w14:paraId="6D6A0936">
                  <w:pPr>
                    <w:pStyle w:val="91"/>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rightChars="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rPr>
                    <w:t>《工业企业厂界环境噪声排放标准》（GB12348-2008）</w:t>
                  </w:r>
                  <w:r>
                    <w:rPr>
                      <w:rFonts w:hint="eastAsia"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rPr>
                    <w:t>类标准要求</w:t>
                  </w:r>
                </w:p>
              </w:tc>
            </w:tr>
            <w:tr w14:paraId="2E518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gridSpan w:val="2"/>
                  <w:tcBorders>
                    <w:tl2br w:val="nil"/>
                    <w:tr2bl w:val="nil"/>
                  </w:tcBorders>
                  <w:noWrap w:val="0"/>
                  <w:vAlign w:val="center"/>
                </w:tcPr>
                <w:p w14:paraId="7153B313">
                  <w:pPr>
                    <w:pStyle w:val="23"/>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废水</w:t>
                  </w:r>
                </w:p>
              </w:tc>
              <w:tc>
                <w:tcPr>
                  <w:tcW w:w="791" w:type="pct"/>
                  <w:tcBorders>
                    <w:tl2br w:val="nil"/>
                    <w:tr2bl w:val="nil"/>
                  </w:tcBorders>
                  <w:noWrap w:val="0"/>
                  <w:vAlign w:val="center"/>
                </w:tcPr>
                <w:p w14:paraId="3BCB65E5">
                  <w:pPr>
                    <w:keepNext w:val="0"/>
                    <w:keepLines w:val="0"/>
                    <w:widowControl w:val="0"/>
                    <w:suppressLineNumbers w:val="0"/>
                    <w:autoSpaceDE w:val="0"/>
                    <w:autoSpaceDN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COD、BOD</w:t>
                  </w:r>
                  <w:r>
                    <w:rPr>
                      <w:rFonts w:hint="default" w:ascii="Times New Roman" w:hAnsi="Times New Roman" w:eastAsia="宋体" w:cs="Times New Roman"/>
                      <w:color w:val="auto"/>
                      <w:kern w:val="2"/>
                      <w:sz w:val="21"/>
                      <w:szCs w:val="21"/>
                      <w:highlight w:val="none"/>
                      <w:vertAlign w:val="subscript"/>
                      <w:lang w:val="en-US" w:eastAsia="zh-CN" w:bidi="ar"/>
                    </w:rPr>
                    <w:t>5</w:t>
                  </w:r>
                  <w:r>
                    <w:rPr>
                      <w:rFonts w:hint="default" w:ascii="Times New Roman" w:hAnsi="Times New Roman" w:eastAsia="宋体" w:cs="Times New Roman"/>
                      <w:color w:val="auto"/>
                      <w:kern w:val="2"/>
                      <w:sz w:val="21"/>
                      <w:szCs w:val="21"/>
                      <w:highlight w:val="none"/>
                      <w:lang w:val="en-US" w:eastAsia="zh-CN" w:bidi="ar"/>
                    </w:rPr>
                    <w:t>、SS、NH</w:t>
                  </w:r>
                  <w:r>
                    <w:rPr>
                      <w:rFonts w:hint="default" w:ascii="Times New Roman" w:hAnsi="Times New Roman" w:eastAsia="宋体" w:cs="Times New Roman"/>
                      <w:color w:val="auto"/>
                      <w:kern w:val="2"/>
                      <w:sz w:val="21"/>
                      <w:szCs w:val="21"/>
                      <w:highlight w:val="none"/>
                      <w:vertAlign w:val="sub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-N、</w:t>
                  </w:r>
                  <w:r>
                    <w:rPr>
                      <w:rFonts w:hint="eastAsia" w:cs="Times New Roman"/>
                      <w:color w:val="auto"/>
                      <w:kern w:val="2"/>
                      <w:sz w:val="21"/>
                      <w:szCs w:val="21"/>
                      <w:highlight w:val="none"/>
                      <w:lang w:val="en-US" w:eastAsia="zh-CN" w:bidi="ar"/>
                    </w:rPr>
                    <w:t>总磷、总氮</w:t>
                  </w:r>
                </w:p>
              </w:tc>
              <w:tc>
                <w:tcPr>
                  <w:tcW w:w="1148" w:type="pct"/>
                  <w:tcBorders>
                    <w:tl2br w:val="nil"/>
                    <w:tr2bl w:val="nil"/>
                  </w:tcBorders>
                  <w:noWrap w:val="0"/>
                  <w:vAlign w:val="center"/>
                </w:tcPr>
                <w:p w14:paraId="62E74078">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废水</w:t>
                  </w:r>
                  <w:r>
                    <w:rPr>
                      <w:rFonts w:hint="eastAsia" w:cs="Times New Roman"/>
                      <w:color w:val="auto"/>
                      <w:kern w:val="2"/>
                      <w:sz w:val="21"/>
                      <w:szCs w:val="21"/>
                      <w:highlight w:val="none"/>
                      <w:lang w:val="en-US" w:eastAsia="zh-CN"/>
                    </w:rPr>
                    <w:t>总排</w:t>
                  </w:r>
                  <w:r>
                    <w:rPr>
                      <w:rFonts w:hint="eastAsia" w:ascii="Times New Roman" w:hAnsi="Times New Roman" w:eastAsia="宋体" w:cs="Times New Roman"/>
                      <w:color w:val="auto"/>
                      <w:kern w:val="2"/>
                      <w:sz w:val="21"/>
                      <w:szCs w:val="21"/>
                      <w:highlight w:val="none"/>
                      <w:lang w:val="en-US" w:eastAsia="zh-CN"/>
                    </w:rPr>
                    <w:t>口</w:t>
                  </w:r>
                </w:p>
              </w:tc>
              <w:tc>
                <w:tcPr>
                  <w:tcW w:w="820" w:type="pct"/>
                  <w:tcBorders>
                    <w:tl2br w:val="nil"/>
                    <w:tr2bl w:val="nil"/>
                  </w:tcBorders>
                  <w:noWrap w:val="0"/>
                  <w:vAlign w:val="center"/>
                </w:tcPr>
                <w:p w14:paraId="4786241C">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1次/年</w:t>
                  </w:r>
                </w:p>
              </w:tc>
              <w:tc>
                <w:tcPr>
                  <w:tcW w:w="1074" w:type="pct"/>
                  <w:tcBorders>
                    <w:tl2br w:val="nil"/>
                    <w:tr2bl w:val="nil"/>
                  </w:tcBorders>
                  <w:noWrap w:val="0"/>
                  <w:vAlign w:val="center"/>
                </w:tcPr>
                <w:p w14:paraId="7579A938">
                  <w:pPr>
                    <w:keepNext w:val="0"/>
                    <w:keepLines w:val="0"/>
                    <w:widowControl w:val="0"/>
                    <w:suppressLineNumbers w:val="0"/>
                    <w:wordWrap w:val="0"/>
                    <w:autoSpaceDE w:val="0"/>
                    <w:autoSpaceDN/>
                    <w:spacing w:before="0" w:beforeAutospacing="0" w:after="0" w:afterAutospacing="0"/>
                    <w:ind w:left="0" w:leftChars="0" w:right="0" w:rightChars="0"/>
                    <w:jc w:val="both"/>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《污水综合排放标准》（GB 8978-1996）三级标准及《污水排入城镇下水道水质标准》（GB/T31962-2015）B标准</w:t>
                  </w:r>
                </w:p>
              </w:tc>
            </w:tr>
          </w:tbl>
          <w:p w14:paraId="2C993D79">
            <w:pPr>
              <w:pStyle w:val="27"/>
              <w:keepNext w:val="0"/>
              <w:keepLines w:val="0"/>
              <w:pageBreakBefore w:val="0"/>
              <w:widowControl w:val="0"/>
              <w:suppressLineNumbers w:val="0"/>
              <w:kinsoku/>
              <w:wordWrap/>
              <w:overflowPunct/>
              <w:topLinePunct w:val="0"/>
              <w:bidi w:val="0"/>
              <w:spacing w:before="0" w:beforeAutospacing="0" w:after="0" w:afterAutospacing="0" w:line="312"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p>
        </w:tc>
      </w:tr>
    </w:tbl>
    <w:p w14:paraId="6F176BEC">
      <w:pPr>
        <w:pStyle w:val="23"/>
        <w:jc w:val="center"/>
        <w:outlineLvl w:val="9"/>
        <w:rPr>
          <w:rFonts w:hint="default" w:ascii="Times New Roman" w:hAnsi="Times New Roman" w:eastAsia="宋体" w:cs="Times New Roman"/>
          <w:snapToGrid w:val="0"/>
          <w:color w:val="auto"/>
          <w:highlight w:val="none"/>
        </w:rPr>
      </w:pPr>
      <w:r>
        <w:rPr>
          <w:rFonts w:hint="default" w:ascii="Times New Roman" w:hAnsi="Times New Roman" w:eastAsia="宋体" w:cs="Times New Roman"/>
          <w:snapToGrid w:val="0"/>
          <w:color w:val="auto"/>
          <w:highlight w:val="none"/>
        </w:rPr>
        <w:br w:type="page"/>
      </w:r>
    </w:p>
    <w:p w14:paraId="65645D6C">
      <w:pPr>
        <w:pStyle w:val="23"/>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六、结论</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5108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0" w:hRule="atLeast"/>
          <w:jc w:val="center"/>
        </w:trPr>
        <w:tc>
          <w:tcPr>
            <w:tcW w:w="5000" w:type="pct"/>
            <w:noWrap w:val="0"/>
            <w:vAlign w:val="top"/>
          </w:tcPr>
          <w:p w14:paraId="31079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本项目符合国家和地方产业政策，选址合理，项目在切实执行</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三同时</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制度，认真落实本报告提出的各项环保措施和风险防范措施的前提下，污染物能做到达标排放，固废均能妥善处置，环境风险可接受，不会对周围环境质量产生明显不良影响，从环境保护角度分析，项目</w:t>
            </w:r>
            <w:r>
              <w:rPr>
                <w:rFonts w:hint="eastAsia"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lang w:val="en-US" w:eastAsia="zh-CN"/>
              </w:rPr>
              <w:t>环境影响可行。</w:t>
            </w:r>
          </w:p>
          <w:p w14:paraId="6351F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p>
          <w:p w14:paraId="32712E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p>
          <w:p w14:paraId="32F7A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p>
          <w:p w14:paraId="3A2494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p>
          <w:p w14:paraId="6F8BF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p>
          <w:p w14:paraId="661EE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p>
          <w:p w14:paraId="211C56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p>
          <w:p w14:paraId="51931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auto"/>
                <w:sz w:val="24"/>
                <w:highlight w:val="none"/>
                <w:lang w:val="en-US" w:eastAsia="zh-CN"/>
              </w:rPr>
            </w:pPr>
          </w:p>
        </w:tc>
      </w:tr>
    </w:tbl>
    <w:p w14:paraId="69C26612">
      <w:pPr>
        <w:rPr>
          <w:rFonts w:hint="default" w:ascii="Times New Roman" w:hAnsi="Times New Roman" w:eastAsia="宋体" w:cs="Times New Roman"/>
          <w:color w:val="auto"/>
          <w:highlight w:val="none"/>
        </w:rPr>
        <w:sectPr>
          <w:pgSz w:w="11906" w:h="16838"/>
          <w:pgMar w:top="1417" w:right="1531" w:bottom="141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DDAAF9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38"/>
          <w:szCs w:val="38"/>
          <w:highlight w:val="none"/>
        </w:rPr>
      </w:pPr>
      <w:r>
        <w:rPr>
          <w:rFonts w:hint="default" w:ascii="Times New Roman" w:hAnsi="Times New Roman" w:eastAsia="宋体" w:cs="Times New Roman"/>
          <w:snapToGrid w:val="0"/>
          <w:color w:val="auto"/>
          <w:sz w:val="38"/>
          <w:szCs w:val="38"/>
          <w:highlight w:val="none"/>
        </w:rPr>
        <w:t>建设项目污染物排放量汇总表</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2035"/>
        <w:gridCol w:w="1566"/>
        <w:gridCol w:w="1353"/>
        <w:gridCol w:w="1803"/>
        <w:gridCol w:w="1654"/>
        <w:gridCol w:w="1689"/>
        <w:gridCol w:w="1765"/>
        <w:gridCol w:w="1367"/>
      </w:tblGrid>
      <w:tr w14:paraId="1CE3F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tcBorders>
              <w:tl2br w:val="single" w:color="auto" w:sz="4" w:space="0"/>
            </w:tcBorders>
            <w:noWrap w:val="0"/>
            <w:tcMar>
              <w:left w:w="28" w:type="dxa"/>
              <w:right w:w="28" w:type="dxa"/>
            </w:tcMar>
            <w:vAlign w:val="center"/>
          </w:tcPr>
          <w:p w14:paraId="4AD83900">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lang w:val="en-US" w:eastAsia="zh-CN"/>
              </w:rPr>
              <w:t xml:space="preserve">   </w:t>
            </w:r>
            <w:r>
              <w:rPr>
                <w:rFonts w:hint="eastAsia" w:ascii="Times New Roman" w:hAnsi="Times New Roman" w:eastAsia="宋体" w:cs="Times New Roman"/>
                <w:snapToGrid w:val="0"/>
                <w:color w:val="auto"/>
                <w:spacing w:val="-6"/>
                <w:kern w:val="21"/>
                <w:sz w:val="21"/>
                <w:szCs w:val="21"/>
                <w:highlight w:val="none"/>
                <w:lang w:val="en-US" w:eastAsia="zh-CN"/>
              </w:rPr>
              <w:t xml:space="preserve"> </w:t>
            </w:r>
            <w:r>
              <w:rPr>
                <w:rFonts w:hint="default" w:ascii="Times New Roman" w:hAnsi="Times New Roman" w:eastAsia="宋体" w:cs="Times New Roman"/>
                <w:snapToGrid w:val="0"/>
                <w:color w:val="auto"/>
                <w:spacing w:val="-6"/>
                <w:kern w:val="21"/>
                <w:sz w:val="21"/>
                <w:szCs w:val="21"/>
                <w:highlight w:val="none"/>
              </w:rPr>
              <w:t>项目</w:t>
            </w:r>
          </w:p>
          <w:p w14:paraId="24C30477">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ind w:left="408" w:leftChars="100" w:hanging="198" w:hangingChars="10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695" w:type="pct"/>
            <w:noWrap w:val="0"/>
            <w:tcMar>
              <w:left w:w="28" w:type="dxa"/>
              <w:right w:w="28" w:type="dxa"/>
            </w:tcMar>
            <w:vAlign w:val="center"/>
          </w:tcPr>
          <w:p w14:paraId="00EAB274">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535" w:type="pct"/>
            <w:noWrap w:val="0"/>
            <w:tcMar>
              <w:left w:w="28" w:type="dxa"/>
              <w:right w:w="28" w:type="dxa"/>
            </w:tcMar>
            <w:vAlign w:val="center"/>
          </w:tcPr>
          <w:p w14:paraId="2080E165">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5721D3D9">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lang w:val="en-US" w:eastAsia="zh-CN"/>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lang w:val="en-US" w:eastAsia="zh-CN"/>
              </w:rPr>
              <w:t>①</w:t>
            </w:r>
          </w:p>
        </w:tc>
        <w:tc>
          <w:tcPr>
            <w:tcW w:w="462" w:type="pct"/>
            <w:noWrap w:val="0"/>
            <w:tcMar>
              <w:left w:w="28" w:type="dxa"/>
              <w:right w:w="28" w:type="dxa"/>
            </w:tcMar>
            <w:vAlign w:val="center"/>
          </w:tcPr>
          <w:p w14:paraId="648BE8D8">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25DF8E7B">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p>
          <w:p w14:paraId="2B8CF6E1">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lang w:val="en-US" w:eastAsia="zh-CN"/>
              </w:rPr>
            </w:pPr>
            <w:r>
              <w:rPr>
                <w:rFonts w:hint="default" w:ascii="Times New Roman" w:hAnsi="Times New Roman" w:eastAsia="宋体" w:cs="Times New Roman"/>
                <w:snapToGrid w:val="0"/>
                <w:color w:val="auto"/>
                <w:spacing w:val="-6"/>
                <w:kern w:val="21"/>
                <w:sz w:val="21"/>
                <w:szCs w:val="21"/>
                <w:highlight w:val="none"/>
                <w:lang w:val="en-US" w:eastAsia="zh-CN"/>
              </w:rPr>
              <w:t>②</w:t>
            </w:r>
          </w:p>
        </w:tc>
        <w:tc>
          <w:tcPr>
            <w:tcW w:w="616" w:type="pct"/>
            <w:noWrap w:val="0"/>
            <w:tcMar>
              <w:left w:w="28" w:type="dxa"/>
              <w:right w:w="28" w:type="dxa"/>
            </w:tcMar>
            <w:vAlign w:val="center"/>
          </w:tcPr>
          <w:p w14:paraId="2B4B15F2">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14:paraId="10540872">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lang w:val="en-US" w:eastAsia="zh-CN"/>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lang w:val="en-US" w:eastAsia="zh-CN"/>
              </w:rPr>
              <w:t>③</w:t>
            </w:r>
          </w:p>
        </w:tc>
        <w:tc>
          <w:tcPr>
            <w:tcW w:w="565" w:type="pct"/>
            <w:noWrap w:val="0"/>
            <w:tcMar>
              <w:left w:w="28" w:type="dxa"/>
              <w:right w:w="28" w:type="dxa"/>
            </w:tcMar>
            <w:vAlign w:val="center"/>
          </w:tcPr>
          <w:p w14:paraId="40018F76">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14:paraId="7A96EE0D">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lang w:val="en-US" w:eastAsia="zh-CN"/>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lang w:val="en-US" w:eastAsia="zh-CN"/>
              </w:rPr>
              <w:t>④</w:t>
            </w:r>
          </w:p>
        </w:tc>
        <w:tc>
          <w:tcPr>
            <w:tcW w:w="577" w:type="pct"/>
            <w:noWrap w:val="0"/>
            <w:tcMar>
              <w:left w:w="28" w:type="dxa"/>
              <w:right w:w="28" w:type="dxa"/>
            </w:tcMar>
            <w:vAlign w:val="center"/>
          </w:tcPr>
          <w:p w14:paraId="2AC13EE8">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w:t>
            </w:r>
          </w:p>
          <w:p w14:paraId="77657E28">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16"/>
                <w:kern w:val="21"/>
                <w:sz w:val="21"/>
                <w:szCs w:val="21"/>
                <w:highlight w:val="none"/>
                <w:lang w:val="en-US" w:eastAsia="zh-CN"/>
              </w:rPr>
            </w:pPr>
            <w:r>
              <w:rPr>
                <w:rFonts w:hint="default" w:ascii="Times New Roman" w:hAnsi="Times New Roman" w:eastAsia="宋体" w:cs="Times New Roman"/>
                <w:snapToGrid w:val="0"/>
                <w:color w:val="auto"/>
                <w:spacing w:val="-16"/>
                <w:kern w:val="21"/>
                <w:sz w:val="21"/>
                <w:szCs w:val="21"/>
                <w:highlight w:val="none"/>
              </w:rPr>
              <w:t>（新建项目不填）</w:t>
            </w:r>
            <w:r>
              <w:rPr>
                <w:rFonts w:hint="default" w:ascii="Times New Roman" w:hAnsi="Times New Roman" w:eastAsia="宋体" w:cs="Times New Roman"/>
                <w:snapToGrid w:val="0"/>
                <w:color w:val="auto"/>
                <w:spacing w:val="-16"/>
                <w:kern w:val="21"/>
                <w:sz w:val="21"/>
                <w:szCs w:val="21"/>
                <w:highlight w:val="none"/>
                <w:lang w:val="en-US" w:eastAsia="zh-CN"/>
              </w:rPr>
              <w:t>⑤</w:t>
            </w:r>
          </w:p>
        </w:tc>
        <w:tc>
          <w:tcPr>
            <w:tcW w:w="603" w:type="pct"/>
            <w:noWrap w:val="0"/>
            <w:tcMar>
              <w:left w:w="28" w:type="dxa"/>
              <w:right w:w="28" w:type="dxa"/>
            </w:tcMar>
            <w:vAlign w:val="center"/>
          </w:tcPr>
          <w:p w14:paraId="737E43A9">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w:t>
            </w:r>
          </w:p>
          <w:p w14:paraId="0E53B852">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16"/>
                <w:kern w:val="21"/>
                <w:sz w:val="21"/>
                <w:szCs w:val="21"/>
                <w:highlight w:val="none"/>
                <w:lang w:val="en-US" w:eastAsia="zh-CN"/>
              </w:rPr>
            </w:pPr>
            <w:r>
              <w:rPr>
                <w:rFonts w:hint="default" w:ascii="Times New Roman" w:hAnsi="Times New Roman" w:eastAsia="宋体" w:cs="Times New Roman"/>
                <w:snapToGrid w:val="0"/>
                <w:color w:val="auto"/>
                <w:spacing w:val="-16"/>
                <w:kern w:val="21"/>
                <w:sz w:val="21"/>
                <w:szCs w:val="21"/>
                <w:highlight w:val="none"/>
              </w:rPr>
              <w:t>全厂排放量（固体废物产生量）</w:t>
            </w:r>
            <w:r>
              <w:rPr>
                <w:rFonts w:hint="default" w:ascii="Times New Roman" w:hAnsi="Times New Roman" w:eastAsia="宋体" w:cs="Times New Roman"/>
                <w:snapToGrid w:val="0"/>
                <w:color w:val="auto"/>
                <w:spacing w:val="-16"/>
                <w:kern w:val="21"/>
                <w:sz w:val="21"/>
                <w:szCs w:val="21"/>
                <w:highlight w:val="none"/>
                <w:lang w:val="en-US" w:eastAsia="zh-CN"/>
              </w:rPr>
              <w:t>⑥</w:t>
            </w:r>
          </w:p>
        </w:tc>
        <w:tc>
          <w:tcPr>
            <w:tcW w:w="467" w:type="pct"/>
            <w:noWrap w:val="0"/>
            <w:tcMar>
              <w:left w:w="28" w:type="dxa"/>
              <w:right w:w="28" w:type="dxa"/>
            </w:tcMar>
            <w:vAlign w:val="center"/>
          </w:tcPr>
          <w:p w14:paraId="0115E4E6">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14:paraId="044050D2">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spacing w:val="-6"/>
                <w:kern w:val="21"/>
                <w:sz w:val="21"/>
                <w:szCs w:val="21"/>
                <w:highlight w:val="none"/>
                <w:lang w:val="en-US" w:eastAsia="zh-CN"/>
              </w:rPr>
            </w:pPr>
            <w:r>
              <w:rPr>
                <w:rFonts w:hint="default" w:ascii="Times New Roman" w:hAnsi="Times New Roman" w:eastAsia="宋体" w:cs="Times New Roman"/>
                <w:snapToGrid w:val="0"/>
                <w:color w:val="auto"/>
                <w:spacing w:val="-6"/>
                <w:kern w:val="21"/>
                <w:sz w:val="21"/>
                <w:szCs w:val="21"/>
                <w:highlight w:val="none"/>
                <w:lang w:val="en-US" w:eastAsia="zh-CN"/>
              </w:rPr>
              <w:t>⑦</w:t>
            </w:r>
          </w:p>
        </w:tc>
      </w:tr>
      <w:tr w14:paraId="1B647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restart"/>
            <w:noWrap w:val="0"/>
            <w:vAlign w:val="center"/>
          </w:tcPr>
          <w:p w14:paraId="2E92314F">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695" w:type="pct"/>
            <w:noWrap w:val="0"/>
            <w:vAlign w:val="center"/>
          </w:tcPr>
          <w:p w14:paraId="5AA010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35" w:type="pct"/>
            <w:noWrap w:val="0"/>
            <w:vAlign w:val="center"/>
          </w:tcPr>
          <w:p w14:paraId="23DA9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35994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7AA1C9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3FE8A95B">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0.002t/a</w:t>
            </w:r>
          </w:p>
        </w:tc>
        <w:tc>
          <w:tcPr>
            <w:tcW w:w="577" w:type="pct"/>
            <w:noWrap w:val="0"/>
            <w:vAlign w:val="center"/>
          </w:tcPr>
          <w:p w14:paraId="47750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522DA2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0.002t</w:t>
            </w:r>
            <w:r>
              <w:rPr>
                <w:rFonts w:hint="default" w:ascii="Times New Roman" w:hAnsi="Times New Roman" w:eastAsia="宋体" w:cs="Times New Roman"/>
                <w:color w:val="auto"/>
                <w:kern w:val="21"/>
                <w:sz w:val="21"/>
                <w:szCs w:val="21"/>
                <w:highlight w:val="none"/>
              </w:rPr>
              <w:t>/a</w:t>
            </w:r>
          </w:p>
        </w:tc>
        <w:tc>
          <w:tcPr>
            <w:tcW w:w="467" w:type="pct"/>
            <w:noWrap w:val="0"/>
            <w:vAlign w:val="center"/>
          </w:tcPr>
          <w:p w14:paraId="5E66F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5E42A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0209607E">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674B92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2"/>
                <w:sz w:val="21"/>
                <w:szCs w:val="21"/>
                <w:highlight w:val="none"/>
                <w:lang w:val="en-US" w:eastAsia="zh-CN" w:bidi="ar-SA"/>
              </w:rPr>
              <w:t>氯化氢</w:t>
            </w:r>
          </w:p>
        </w:tc>
        <w:tc>
          <w:tcPr>
            <w:tcW w:w="535" w:type="pct"/>
            <w:noWrap w:val="0"/>
            <w:vAlign w:val="center"/>
          </w:tcPr>
          <w:p w14:paraId="482EA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64F31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58BEF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3FE9C599">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0.00002 </w:t>
            </w:r>
            <w:r>
              <w:rPr>
                <w:rFonts w:hint="default" w:ascii="Times New Roman" w:hAnsi="Times New Roman" w:eastAsia="宋体" w:cs="Times New Roman"/>
                <w:color w:val="auto"/>
                <w:kern w:val="2"/>
                <w:sz w:val="21"/>
                <w:szCs w:val="21"/>
                <w:highlight w:val="none"/>
                <w:lang w:val="en-US" w:eastAsia="zh-CN"/>
              </w:rPr>
              <w:t>t/a</w:t>
            </w:r>
          </w:p>
        </w:tc>
        <w:tc>
          <w:tcPr>
            <w:tcW w:w="577" w:type="pct"/>
            <w:noWrap w:val="0"/>
            <w:vAlign w:val="center"/>
          </w:tcPr>
          <w:p w14:paraId="6F2DE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6371143F">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rPr>
              <w:t xml:space="preserve">0.00002 </w:t>
            </w:r>
            <w:r>
              <w:rPr>
                <w:rFonts w:hint="default" w:ascii="Times New Roman" w:hAnsi="Times New Roman" w:eastAsia="宋体" w:cs="Times New Roman"/>
                <w:color w:val="auto"/>
                <w:kern w:val="2"/>
                <w:sz w:val="21"/>
                <w:szCs w:val="21"/>
                <w:highlight w:val="none"/>
                <w:lang w:val="en-US" w:eastAsia="zh-CN"/>
              </w:rPr>
              <w:t>t/a</w:t>
            </w:r>
          </w:p>
        </w:tc>
        <w:tc>
          <w:tcPr>
            <w:tcW w:w="467" w:type="pct"/>
            <w:noWrap w:val="0"/>
            <w:vAlign w:val="center"/>
          </w:tcPr>
          <w:p w14:paraId="14A0B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420DB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3FF2E724">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6F328E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2"/>
                <w:sz w:val="21"/>
                <w:szCs w:val="21"/>
                <w:highlight w:val="none"/>
                <w:lang w:val="en-US" w:eastAsia="zh-CN" w:bidi="ar-SA"/>
              </w:rPr>
              <w:t>硫酸雾</w:t>
            </w:r>
          </w:p>
        </w:tc>
        <w:tc>
          <w:tcPr>
            <w:tcW w:w="535" w:type="pct"/>
            <w:noWrap w:val="0"/>
            <w:vAlign w:val="center"/>
          </w:tcPr>
          <w:p w14:paraId="1D3089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66728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7B956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2082227D">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0.00221 </w:t>
            </w:r>
            <w:r>
              <w:rPr>
                <w:rFonts w:hint="default" w:ascii="Times New Roman" w:hAnsi="Times New Roman" w:eastAsia="宋体" w:cs="Times New Roman"/>
                <w:color w:val="auto"/>
                <w:kern w:val="2"/>
                <w:sz w:val="21"/>
                <w:szCs w:val="21"/>
                <w:highlight w:val="none"/>
                <w:lang w:val="en-US" w:eastAsia="zh-CN"/>
              </w:rPr>
              <w:t>t/a</w:t>
            </w:r>
          </w:p>
        </w:tc>
        <w:tc>
          <w:tcPr>
            <w:tcW w:w="577" w:type="pct"/>
            <w:noWrap w:val="0"/>
            <w:vAlign w:val="center"/>
          </w:tcPr>
          <w:p w14:paraId="6A3B6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0A86EE59">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rPr>
              <w:t xml:space="preserve">0.00221 </w:t>
            </w:r>
            <w:r>
              <w:rPr>
                <w:rFonts w:hint="default" w:ascii="Times New Roman" w:hAnsi="Times New Roman" w:eastAsia="宋体" w:cs="Times New Roman"/>
                <w:color w:val="auto"/>
                <w:kern w:val="2"/>
                <w:sz w:val="21"/>
                <w:szCs w:val="21"/>
                <w:highlight w:val="none"/>
                <w:lang w:val="en-US" w:eastAsia="zh-CN"/>
              </w:rPr>
              <w:t>t/a</w:t>
            </w:r>
          </w:p>
        </w:tc>
        <w:tc>
          <w:tcPr>
            <w:tcW w:w="467" w:type="pct"/>
            <w:noWrap w:val="0"/>
            <w:vAlign w:val="center"/>
          </w:tcPr>
          <w:p w14:paraId="6F67CF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7E7F4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33DF94DA">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12EDCA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2"/>
                <w:sz w:val="21"/>
                <w:szCs w:val="21"/>
                <w:highlight w:val="none"/>
                <w:lang w:val="en-US" w:eastAsia="zh-CN" w:bidi="ar-SA"/>
              </w:rPr>
              <w:t>氟化物</w:t>
            </w:r>
          </w:p>
        </w:tc>
        <w:tc>
          <w:tcPr>
            <w:tcW w:w="535" w:type="pct"/>
            <w:noWrap w:val="0"/>
            <w:vAlign w:val="center"/>
          </w:tcPr>
          <w:p w14:paraId="31CAA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02241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7CB401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0FF9811E">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0.00101 </w:t>
            </w:r>
            <w:r>
              <w:rPr>
                <w:rFonts w:hint="default" w:ascii="Times New Roman" w:hAnsi="Times New Roman" w:eastAsia="宋体" w:cs="Times New Roman"/>
                <w:color w:val="auto"/>
                <w:kern w:val="2"/>
                <w:sz w:val="21"/>
                <w:szCs w:val="21"/>
                <w:highlight w:val="none"/>
                <w:lang w:val="en-US" w:eastAsia="zh-CN"/>
              </w:rPr>
              <w:t>t/a</w:t>
            </w:r>
          </w:p>
        </w:tc>
        <w:tc>
          <w:tcPr>
            <w:tcW w:w="577" w:type="pct"/>
            <w:noWrap w:val="0"/>
            <w:vAlign w:val="center"/>
          </w:tcPr>
          <w:p w14:paraId="3F7CE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07914F2D">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rPr>
              <w:t xml:space="preserve">0.00101 </w:t>
            </w:r>
            <w:r>
              <w:rPr>
                <w:rFonts w:hint="default" w:ascii="Times New Roman" w:hAnsi="Times New Roman" w:eastAsia="宋体" w:cs="Times New Roman"/>
                <w:color w:val="auto"/>
                <w:kern w:val="2"/>
                <w:sz w:val="21"/>
                <w:szCs w:val="21"/>
                <w:highlight w:val="none"/>
                <w:lang w:val="en-US" w:eastAsia="zh-CN"/>
              </w:rPr>
              <w:t>t/a</w:t>
            </w:r>
          </w:p>
        </w:tc>
        <w:tc>
          <w:tcPr>
            <w:tcW w:w="467" w:type="pct"/>
            <w:noWrap w:val="0"/>
            <w:vAlign w:val="center"/>
          </w:tcPr>
          <w:p w14:paraId="069DAF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177C2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7B84C98B">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35EC6C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2"/>
                <w:sz w:val="21"/>
                <w:szCs w:val="21"/>
                <w:highlight w:val="none"/>
                <w:lang w:val="en-US" w:eastAsia="zh-CN" w:bidi="ar-SA"/>
              </w:rPr>
              <w:t>氮氧化物</w:t>
            </w:r>
          </w:p>
        </w:tc>
        <w:tc>
          <w:tcPr>
            <w:tcW w:w="535" w:type="pct"/>
            <w:noWrap w:val="0"/>
            <w:vAlign w:val="center"/>
          </w:tcPr>
          <w:p w14:paraId="1FF8E8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7477D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39F85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1285FE45">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0.02033 </w:t>
            </w:r>
            <w:r>
              <w:rPr>
                <w:rFonts w:hint="default" w:ascii="Times New Roman" w:hAnsi="Times New Roman" w:eastAsia="宋体" w:cs="Times New Roman"/>
                <w:color w:val="auto"/>
                <w:kern w:val="2"/>
                <w:sz w:val="21"/>
                <w:szCs w:val="21"/>
                <w:highlight w:val="none"/>
                <w:lang w:val="en-US" w:eastAsia="zh-CN"/>
              </w:rPr>
              <w:t>t/a</w:t>
            </w:r>
          </w:p>
        </w:tc>
        <w:tc>
          <w:tcPr>
            <w:tcW w:w="577" w:type="pct"/>
            <w:noWrap w:val="0"/>
            <w:vAlign w:val="center"/>
          </w:tcPr>
          <w:p w14:paraId="3C588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6E02341C">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rPr>
              <w:t xml:space="preserve">0.02033 </w:t>
            </w:r>
            <w:r>
              <w:rPr>
                <w:rFonts w:hint="default" w:ascii="Times New Roman" w:hAnsi="Times New Roman" w:eastAsia="宋体" w:cs="Times New Roman"/>
                <w:color w:val="auto"/>
                <w:kern w:val="2"/>
                <w:sz w:val="21"/>
                <w:szCs w:val="21"/>
                <w:highlight w:val="none"/>
                <w:lang w:val="en-US" w:eastAsia="zh-CN"/>
              </w:rPr>
              <w:t>t/a</w:t>
            </w:r>
          </w:p>
        </w:tc>
        <w:tc>
          <w:tcPr>
            <w:tcW w:w="467" w:type="pct"/>
            <w:noWrap w:val="0"/>
            <w:vAlign w:val="center"/>
          </w:tcPr>
          <w:p w14:paraId="64694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23007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0471ECB7">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5A60DA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2"/>
                <w:sz w:val="21"/>
                <w:szCs w:val="21"/>
                <w:highlight w:val="none"/>
                <w:lang w:val="en-US" w:eastAsia="zh-CN" w:bidi="ar-SA"/>
              </w:rPr>
              <w:t>非甲烷总烃</w:t>
            </w:r>
          </w:p>
        </w:tc>
        <w:tc>
          <w:tcPr>
            <w:tcW w:w="535" w:type="pct"/>
            <w:noWrap w:val="0"/>
            <w:vAlign w:val="center"/>
          </w:tcPr>
          <w:p w14:paraId="6769B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43D79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42B4E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66C5516E">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0.00075 </w:t>
            </w:r>
            <w:r>
              <w:rPr>
                <w:rFonts w:hint="default" w:ascii="Times New Roman" w:hAnsi="Times New Roman" w:eastAsia="宋体" w:cs="Times New Roman"/>
                <w:color w:val="auto"/>
                <w:kern w:val="2"/>
                <w:sz w:val="21"/>
                <w:szCs w:val="21"/>
                <w:highlight w:val="none"/>
                <w:lang w:val="en-US" w:eastAsia="zh-CN"/>
              </w:rPr>
              <w:t>t/a</w:t>
            </w:r>
          </w:p>
        </w:tc>
        <w:tc>
          <w:tcPr>
            <w:tcW w:w="577" w:type="pct"/>
            <w:noWrap w:val="0"/>
            <w:vAlign w:val="center"/>
          </w:tcPr>
          <w:p w14:paraId="65261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01AB8447">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rPr>
              <w:t xml:space="preserve">0.00075 </w:t>
            </w:r>
            <w:r>
              <w:rPr>
                <w:rFonts w:hint="default" w:ascii="Times New Roman" w:hAnsi="Times New Roman" w:eastAsia="宋体" w:cs="Times New Roman"/>
                <w:color w:val="auto"/>
                <w:kern w:val="2"/>
                <w:sz w:val="21"/>
                <w:szCs w:val="21"/>
                <w:highlight w:val="none"/>
                <w:lang w:val="en-US" w:eastAsia="zh-CN"/>
              </w:rPr>
              <w:t>t/a</w:t>
            </w:r>
          </w:p>
        </w:tc>
        <w:tc>
          <w:tcPr>
            <w:tcW w:w="467" w:type="pct"/>
            <w:noWrap w:val="0"/>
            <w:vAlign w:val="center"/>
          </w:tcPr>
          <w:p w14:paraId="2CBD2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46F57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restart"/>
            <w:noWrap w:val="0"/>
            <w:vAlign w:val="center"/>
          </w:tcPr>
          <w:p w14:paraId="779FDE3C">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695" w:type="pct"/>
            <w:noWrap w:val="0"/>
            <w:vAlign w:val="center"/>
          </w:tcPr>
          <w:p w14:paraId="7B8C191F">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lang w:val="en-US" w:eastAsia="zh-CN"/>
              </w:rPr>
              <w:t>废水量</w:t>
            </w:r>
          </w:p>
        </w:tc>
        <w:tc>
          <w:tcPr>
            <w:tcW w:w="535" w:type="pct"/>
            <w:noWrap w:val="0"/>
            <w:vAlign w:val="center"/>
          </w:tcPr>
          <w:p w14:paraId="1C329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13370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36FBF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28542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rPr>
            </w:pPr>
            <w:r>
              <w:rPr>
                <w:rFonts w:hint="default" w:ascii="Times New Roman" w:hAnsi="Times New Roman" w:eastAsia="宋体" w:cs="Times New Roman"/>
                <w:snapToGrid w:val="0"/>
                <w:color w:val="auto"/>
                <w:kern w:val="21"/>
                <w:sz w:val="21"/>
                <w:szCs w:val="21"/>
                <w:highlight w:val="none"/>
                <w:lang w:val="en-US" w:eastAsia="zh-CN"/>
              </w:rPr>
              <w:t>1918</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577" w:type="pct"/>
            <w:noWrap w:val="0"/>
            <w:vAlign w:val="center"/>
          </w:tcPr>
          <w:p w14:paraId="79DE5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7DC8F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1918</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467" w:type="pct"/>
            <w:noWrap w:val="0"/>
            <w:vAlign w:val="center"/>
          </w:tcPr>
          <w:p w14:paraId="5A670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6038A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49D38035">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00971ED3">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kern w:val="2"/>
                <w:sz w:val="21"/>
                <w:szCs w:val="21"/>
                <w:highlight w:val="none"/>
                <w:lang w:val="en-US" w:eastAsia="zh-CN"/>
              </w:rPr>
              <w:t>COD</w:t>
            </w:r>
          </w:p>
        </w:tc>
        <w:tc>
          <w:tcPr>
            <w:tcW w:w="535" w:type="pct"/>
            <w:noWrap w:val="0"/>
            <w:vAlign w:val="center"/>
          </w:tcPr>
          <w:p w14:paraId="0AD008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68805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50257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37E63F78">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rPr>
              <w:t xml:space="preserve">0.266 </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577" w:type="pct"/>
            <w:noWrap w:val="0"/>
            <w:vAlign w:val="center"/>
          </w:tcPr>
          <w:p w14:paraId="5270B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73691A2E">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rPr>
              <w:t xml:space="preserve">0.266 </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467" w:type="pct"/>
            <w:noWrap w:val="0"/>
            <w:vAlign w:val="center"/>
          </w:tcPr>
          <w:p w14:paraId="63EE7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38460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3321487C">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25E3D748">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kern w:val="2"/>
                <w:sz w:val="21"/>
                <w:szCs w:val="21"/>
                <w:highlight w:val="none"/>
                <w:lang w:val="en-US" w:eastAsia="zh-CN"/>
              </w:rPr>
              <w:t>BOD</w:t>
            </w:r>
            <w:r>
              <w:rPr>
                <w:rFonts w:hint="default" w:ascii="Times New Roman" w:hAnsi="Times New Roman" w:eastAsia="宋体" w:cs="Times New Roman"/>
                <w:color w:val="auto"/>
                <w:kern w:val="2"/>
                <w:sz w:val="21"/>
                <w:szCs w:val="21"/>
                <w:highlight w:val="none"/>
                <w:vertAlign w:val="subscript"/>
                <w:lang w:val="en-US" w:eastAsia="zh-CN"/>
              </w:rPr>
              <w:t>5</w:t>
            </w:r>
          </w:p>
        </w:tc>
        <w:tc>
          <w:tcPr>
            <w:tcW w:w="535" w:type="pct"/>
            <w:noWrap w:val="0"/>
            <w:vAlign w:val="center"/>
          </w:tcPr>
          <w:p w14:paraId="0FE5F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69546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59822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3356DBD9">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rPr>
              <w:t xml:space="preserve">0.135 </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577" w:type="pct"/>
            <w:noWrap w:val="0"/>
            <w:vAlign w:val="center"/>
          </w:tcPr>
          <w:p w14:paraId="49BDCB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1521DD31">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rPr>
              <w:t xml:space="preserve">0.135 </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467" w:type="pct"/>
            <w:noWrap w:val="0"/>
            <w:vAlign w:val="center"/>
          </w:tcPr>
          <w:p w14:paraId="6F723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206AE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21672EF5">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1CE8170B">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kern w:val="2"/>
                <w:sz w:val="21"/>
                <w:szCs w:val="21"/>
                <w:highlight w:val="none"/>
                <w:lang w:val="en-US" w:eastAsia="zh-CN"/>
              </w:rPr>
              <w:t>SS</w:t>
            </w:r>
          </w:p>
        </w:tc>
        <w:tc>
          <w:tcPr>
            <w:tcW w:w="535" w:type="pct"/>
            <w:noWrap w:val="0"/>
            <w:vAlign w:val="center"/>
          </w:tcPr>
          <w:p w14:paraId="301E2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424B7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2B45B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72EB5E28">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color w:val="auto"/>
                <w:kern w:val="2"/>
                <w:sz w:val="21"/>
                <w:szCs w:val="21"/>
                <w:highlight w:val="none"/>
                <w:lang w:val="en-US" w:eastAsia="zh-CN"/>
              </w:rPr>
              <w:t>0.107</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577" w:type="pct"/>
            <w:noWrap w:val="0"/>
            <w:vAlign w:val="center"/>
          </w:tcPr>
          <w:p w14:paraId="55DC0C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3368B973">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color w:val="auto"/>
                <w:kern w:val="2"/>
                <w:sz w:val="21"/>
                <w:szCs w:val="21"/>
                <w:highlight w:val="none"/>
                <w:lang w:val="en-US" w:eastAsia="zh-CN"/>
              </w:rPr>
              <w:t>0.107</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467" w:type="pct"/>
            <w:noWrap w:val="0"/>
            <w:vAlign w:val="center"/>
          </w:tcPr>
          <w:p w14:paraId="3BC68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6E63D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7F3F2B09">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1892F7C5">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kern w:val="2"/>
                <w:sz w:val="21"/>
                <w:szCs w:val="21"/>
                <w:highlight w:val="none"/>
                <w:lang w:val="en-US" w:eastAsia="zh-CN"/>
              </w:rPr>
              <w:t>氨氮</w:t>
            </w:r>
          </w:p>
        </w:tc>
        <w:tc>
          <w:tcPr>
            <w:tcW w:w="535" w:type="pct"/>
            <w:noWrap w:val="0"/>
            <w:vAlign w:val="center"/>
          </w:tcPr>
          <w:p w14:paraId="5A3F39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177AC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54661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6F0D954B">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rPr>
              <w:t xml:space="preserve">0.029 </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577" w:type="pct"/>
            <w:noWrap w:val="0"/>
            <w:vAlign w:val="center"/>
          </w:tcPr>
          <w:p w14:paraId="2CA58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23F98663">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rPr>
              <w:t xml:space="preserve">0.029 </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467" w:type="pct"/>
            <w:noWrap w:val="0"/>
            <w:vAlign w:val="center"/>
          </w:tcPr>
          <w:p w14:paraId="4278D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2663A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2E3890C4">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176EDCE2">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lang w:val="en-US" w:eastAsia="zh-CN"/>
              </w:rPr>
              <w:t>总氮</w:t>
            </w:r>
          </w:p>
        </w:tc>
        <w:tc>
          <w:tcPr>
            <w:tcW w:w="535" w:type="pct"/>
            <w:noWrap w:val="0"/>
            <w:vAlign w:val="center"/>
          </w:tcPr>
          <w:p w14:paraId="678F8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3C4B89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094AA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71ABF84C">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0.039 </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577" w:type="pct"/>
            <w:noWrap w:val="0"/>
            <w:vAlign w:val="center"/>
          </w:tcPr>
          <w:p w14:paraId="2F98E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7436310F">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0.039 </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467" w:type="pct"/>
            <w:noWrap w:val="0"/>
            <w:vAlign w:val="center"/>
          </w:tcPr>
          <w:p w14:paraId="62692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1DA37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2E31044D">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5AFA769A">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lang w:val="en-US" w:eastAsia="zh-CN"/>
              </w:rPr>
              <w:t>总磷</w:t>
            </w:r>
          </w:p>
        </w:tc>
        <w:tc>
          <w:tcPr>
            <w:tcW w:w="535" w:type="pct"/>
            <w:noWrap w:val="0"/>
            <w:vAlign w:val="center"/>
          </w:tcPr>
          <w:p w14:paraId="1EC7F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3CA80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1F569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4D706310">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0.003 </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577" w:type="pct"/>
            <w:noWrap w:val="0"/>
            <w:vAlign w:val="center"/>
          </w:tcPr>
          <w:p w14:paraId="64266F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0D093661">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 xml:space="preserve">0.003 </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color w:val="auto"/>
                <w:kern w:val="21"/>
                <w:sz w:val="21"/>
                <w:szCs w:val="21"/>
                <w:highlight w:val="none"/>
              </w:rPr>
              <w:t>/a</w:t>
            </w:r>
          </w:p>
        </w:tc>
        <w:tc>
          <w:tcPr>
            <w:tcW w:w="467" w:type="pct"/>
            <w:noWrap w:val="0"/>
            <w:vAlign w:val="center"/>
          </w:tcPr>
          <w:p w14:paraId="2DCD4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69EDB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restart"/>
            <w:noWrap w:val="0"/>
            <w:vAlign w:val="center"/>
          </w:tcPr>
          <w:p w14:paraId="510ADA19">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一般工业固体废物</w:t>
            </w:r>
          </w:p>
        </w:tc>
        <w:tc>
          <w:tcPr>
            <w:tcW w:w="695" w:type="pct"/>
            <w:noWrap w:val="0"/>
            <w:vAlign w:val="center"/>
          </w:tcPr>
          <w:p w14:paraId="4963F7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rPr>
            </w:pPr>
            <w:r>
              <w:rPr>
                <w:rFonts w:hint="default" w:ascii="Times New Roman" w:hAnsi="Times New Roman" w:eastAsia="宋体" w:cs="Times New Roman"/>
                <w:color w:val="auto"/>
                <w:sz w:val="21"/>
                <w:szCs w:val="21"/>
                <w:highlight w:val="none"/>
                <w:lang w:val="en-US" w:eastAsia="zh-CN"/>
              </w:rPr>
              <w:t>废原料包装桶</w:t>
            </w:r>
          </w:p>
        </w:tc>
        <w:tc>
          <w:tcPr>
            <w:tcW w:w="535" w:type="pct"/>
            <w:noWrap w:val="0"/>
            <w:vAlign w:val="center"/>
          </w:tcPr>
          <w:p w14:paraId="483646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1F6387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42487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1EAD27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i w:val="0"/>
                <w:iCs w:val="0"/>
                <w:color w:val="auto"/>
                <w:sz w:val="21"/>
                <w:szCs w:val="21"/>
                <w:highlight w:val="none"/>
                <w:u w:val="none"/>
                <w:lang w:val="en-US" w:eastAsia="zh-CN"/>
              </w:rPr>
              <w:t>640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577" w:type="pct"/>
            <w:noWrap w:val="0"/>
            <w:vAlign w:val="center"/>
          </w:tcPr>
          <w:p w14:paraId="041CAB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noWrap w:val="0"/>
            <w:vAlign w:val="center"/>
          </w:tcPr>
          <w:p w14:paraId="2364AB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sz w:val="21"/>
                <w:szCs w:val="21"/>
                <w:highlight w:val="none"/>
                <w:u w:val="none"/>
                <w:lang w:val="en-US" w:eastAsia="zh-CN"/>
              </w:rPr>
              <w:t>640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67" w:type="pct"/>
            <w:noWrap w:val="0"/>
            <w:vAlign w:val="center"/>
          </w:tcPr>
          <w:p w14:paraId="4AC8F8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588DA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6F509DB6">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7E22A4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废边角料和废金属屑</w:t>
            </w:r>
          </w:p>
        </w:tc>
        <w:tc>
          <w:tcPr>
            <w:tcW w:w="535" w:type="pct"/>
            <w:noWrap w:val="0"/>
            <w:vAlign w:val="center"/>
          </w:tcPr>
          <w:p w14:paraId="159F42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4B13F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787529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309056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577" w:type="pct"/>
            <w:noWrap w:val="0"/>
            <w:vAlign w:val="center"/>
          </w:tcPr>
          <w:p w14:paraId="4D52B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noWrap w:val="0"/>
            <w:vAlign w:val="center"/>
          </w:tcPr>
          <w:p w14:paraId="167ADC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67" w:type="pct"/>
            <w:noWrap w:val="0"/>
            <w:vAlign w:val="center"/>
          </w:tcPr>
          <w:p w14:paraId="2D1AD0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756A2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485A48CB">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695" w:type="pct"/>
            <w:noWrap w:val="0"/>
            <w:vAlign w:val="center"/>
          </w:tcPr>
          <w:p w14:paraId="022FF2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不合格品</w:t>
            </w:r>
          </w:p>
        </w:tc>
        <w:tc>
          <w:tcPr>
            <w:tcW w:w="535" w:type="pct"/>
            <w:noWrap w:val="0"/>
            <w:vAlign w:val="center"/>
          </w:tcPr>
          <w:p w14:paraId="4F9195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138E7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05D31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370BCE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577" w:type="pct"/>
            <w:noWrap w:val="0"/>
            <w:vAlign w:val="center"/>
          </w:tcPr>
          <w:p w14:paraId="44A9C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noWrap w:val="0"/>
            <w:vAlign w:val="center"/>
          </w:tcPr>
          <w:p w14:paraId="66454A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67" w:type="pct"/>
            <w:noWrap w:val="0"/>
            <w:vAlign w:val="center"/>
          </w:tcPr>
          <w:p w14:paraId="11FCA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2321E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restart"/>
            <w:noWrap w:val="0"/>
            <w:vAlign w:val="center"/>
          </w:tcPr>
          <w:p w14:paraId="47E56892">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2035" w:type="dxa"/>
            <w:noWrap w:val="0"/>
            <w:vAlign w:val="center"/>
          </w:tcPr>
          <w:p w14:paraId="572A69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b w:val="0"/>
                <w:bCs w:val="0"/>
                <w:snapToGrid/>
                <w:color w:val="auto"/>
                <w:kern w:val="2"/>
                <w:sz w:val="21"/>
                <w:szCs w:val="21"/>
                <w:highlight w:val="none"/>
                <w:lang w:val="en-US" w:eastAsia="zh-CN"/>
              </w:rPr>
              <w:t>废液压油</w:t>
            </w:r>
          </w:p>
        </w:tc>
        <w:tc>
          <w:tcPr>
            <w:tcW w:w="535" w:type="pct"/>
            <w:noWrap w:val="0"/>
            <w:vAlign w:val="center"/>
          </w:tcPr>
          <w:p w14:paraId="5BFD2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15314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7FE4D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404B7F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b w:val="0"/>
                <w:bCs w:val="0"/>
                <w:snapToGrid/>
                <w:color w:val="auto"/>
                <w:kern w:val="2"/>
                <w:sz w:val="21"/>
                <w:szCs w:val="21"/>
                <w:highlight w:val="none"/>
                <w:lang w:val="en-US" w:eastAsia="zh-CN"/>
              </w:rPr>
              <w:t>0.49</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577" w:type="pct"/>
            <w:noWrap w:val="0"/>
            <w:vAlign w:val="center"/>
          </w:tcPr>
          <w:p w14:paraId="327C1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3E64E6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color w:val="auto"/>
                <w:kern w:val="2"/>
                <w:sz w:val="21"/>
                <w:szCs w:val="21"/>
                <w:highlight w:val="none"/>
                <w:lang w:val="en-US" w:eastAsia="zh-CN"/>
              </w:rPr>
              <w:t>0.49</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67" w:type="pct"/>
            <w:noWrap w:val="0"/>
            <w:vAlign w:val="center"/>
          </w:tcPr>
          <w:p w14:paraId="003BA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6716B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27B84970">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662998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废真空泵油</w:t>
            </w:r>
          </w:p>
        </w:tc>
        <w:tc>
          <w:tcPr>
            <w:tcW w:w="535" w:type="pct"/>
            <w:noWrap w:val="0"/>
            <w:vAlign w:val="center"/>
          </w:tcPr>
          <w:p w14:paraId="37B16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7DD7E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717009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7465EE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 xml:space="preserve">0.5 </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577" w:type="pct"/>
            <w:noWrap w:val="0"/>
            <w:vAlign w:val="center"/>
          </w:tcPr>
          <w:p w14:paraId="0DD18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56F24F7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 xml:space="preserve">0.5 </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67" w:type="pct"/>
            <w:noWrap w:val="0"/>
            <w:vAlign w:val="center"/>
          </w:tcPr>
          <w:p w14:paraId="3C2C84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2E97E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20DB1AD8">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5F6520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废润滑油</w:t>
            </w:r>
          </w:p>
        </w:tc>
        <w:tc>
          <w:tcPr>
            <w:tcW w:w="535" w:type="pct"/>
            <w:noWrap w:val="0"/>
            <w:vAlign w:val="center"/>
          </w:tcPr>
          <w:p w14:paraId="3BA06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44EF5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6C4838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438BD5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0.01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577" w:type="pct"/>
            <w:noWrap w:val="0"/>
            <w:vAlign w:val="center"/>
          </w:tcPr>
          <w:p w14:paraId="58A6AB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70E9196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0.01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67" w:type="pct"/>
            <w:noWrap w:val="0"/>
            <w:vAlign w:val="center"/>
          </w:tcPr>
          <w:p w14:paraId="6C9509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05933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43501CAC">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3F522F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snapToGrid/>
                <w:color w:val="auto"/>
                <w:kern w:val="2"/>
                <w:sz w:val="21"/>
                <w:szCs w:val="21"/>
                <w:highlight w:val="none"/>
                <w:lang w:val="en-US" w:eastAsia="zh-CN"/>
              </w:rPr>
              <w:t>废</w:t>
            </w:r>
            <w:r>
              <w:rPr>
                <w:rFonts w:hint="default" w:ascii="Times New Roman" w:hAnsi="Times New Roman" w:eastAsia="宋体" w:cs="Times New Roman"/>
                <w:b w:val="0"/>
                <w:bCs w:val="0"/>
                <w:snapToGrid/>
                <w:color w:val="auto"/>
                <w:kern w:val="2"/>
                <w:sz w:val="21"/>
                <w:szCs w:val="21"/>
                <w:highlight w:val="none"/>
                <w:lang w:val="en-US" w:eastAsia="zh-CN"/>
              </w:rPr>
              <w:t>油桶</w:t>
            </w:r>
          </w:p>
        </w:tc>
        <w:tc>
          <w:tcPr>
            <w:tcW w:w="535" w:type="pct"/>
            <w:noWrap w:val="0"/>
            <w:vAlign w:val="center"/>
          </w:tcPr>
          <w:p w14:paraId="53398E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38927F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44A3F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2B01B9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0</w:t>
            </w:r>
            <w:r>
              <w:rPr>
                <w:rFonts w:hint="eastAsia" w:ascii="Times New Roman" w:hAnsi="Times New Roman" w:eastAsia="宋体" w:cs="Times New Roman"/>
                <w:b w:val="0"/>
                <w:bCs w:val="0"/>
                <w:snapToGrid/>
                <w:color w:val="auto"/>
                <w:kern w:val="2"/>
                <w:sz w:val="21"/>
                <w:szCs w:val="21"/>
                <w:highlight w:val="none"/>
                <w:lang w:val="en-US" w:eastAsia="zh-CN"/>
              </w:rPr>
              <w:t>.2</w:t>
            </w:r>
            <w:r>
              <w:rPr>
                <w:rFonts w:hint="default" w:ascii="Times New Roman" w:hAnsi="Times New Roman" w:eastAsia="宋体" w:cs="Times New Roman"/>
                <w:b w:val="0"/>
                <w:bCs w:val="0"/>
                <w:snapToGrid/>
                <w:color w:val="auto"/>
                <w:kern w:val="2"/>
                <w:sz w:val="21"/>
                <w:szCs w:val="21"/>
                <w:highlight w:val="none"/>
                <w:lang w:val="en-US" w:eastAsia="zh-CN"/>
              </w:rPr>
              <w:t xml:space="preserve"> </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577" w:type="pct"/>
            <w:noWrap w:val="0"/>
            <w:vAlign w:val="center"/>
          </w:tcPr>
          <w:p w14:paraId="57518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107E3E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0</w:t>
            </w:r>
            <w:r>
              <w:rPr>
                <w:rFonts w:hint="eastAsia" w:ascii="Times New Roman" w:hAnsi="Times New Roman" w:eastAsia="宋体" w:cs="Times New Roman"/>
                <w:b w:val="0"/>
                <w:bCs w:val="0"/>
                <w:snapToGrid/>
                <w:color w:val="auto"/>
                <w:kern w:val="2"/>
                <w:sz w:val="21"/>
                <w:szCs w:val="21"/>
                <w:highlight w:val="none"/>
                <w:lang w:val="en-US" w:eastAsia="zh-CN"/>
              </w:rPr>
              <w:t>.2</w:t>
            </w:r>
            <w:r>
              <w:rPr>
                <w:rFonts w:hint="default" w:ascii="Times New Roman" w:hAnsi="Times New Roman" w:eastAsia="宋体" w:cs="Times New Roman"/>
                <w:b w:val="0"/>
                <w:bCs w:val="0"/>
                <w:snapToGrid/>
                <w:color w:val="auto"/>
                <w:kern w:val="2"/>
                <w:sz w:val="21"/>
                <w:szCs w:val="21"/>
                <w:highlight w:val="none"/>
                <w:lang w:val="en-US" w:eastAsia="zh-CN"/>
              </w:rPr>
              <w:t xml:space="preserve"> </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67" w:type="pct"/>
            <w:noWrap w:val="0"/>
            <w:vAlign w:val="center"/>
          </w:tcPr>
          <w:p w14:paraId="34838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32D42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641ACC42">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5798DE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废切削液</w:t>
            </w:r>
          </w:p>
        </w:tc>
        <w:tc>
          <w:tcPr>
            <w:tcW w:w="535" w:type="pct"/>
            <w:noWrap w:val="0"/>
            <w:vAlign w:val="center"/>
          </w:tcPr>
          <w:p w14:paraId="435B5D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05A7F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2D569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5EBC9D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sz w:val="21"/>
                <w:szCs w:val="21"/>
                <w:highlight w:val="none"/>
                <w:u w:val="none"/>
                <w:lang w:val="en-US" w:eastAsia="zh-CN"/>
              </w:rPr>
              <w:t>1.0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577" w:type="pct"/>
            <w:noWrap w:val="0"/>
            <w:vAlign w:val="center"/>
          </w:tcPr>
          <w:p w14:paraId="7EE5E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62452B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sz w:val="21"/>
                <w:szCs w:val="21"/>
                <w:highlight w:val="none"/>
                <w:u w:val="none"/>
                <w:lang w:val="en-US" w:eastAsia="zh-CN"/>
              </w:rPr>
              <w:t>1.0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67" w:type="pct"/>
            <w:noWrap w:val="0"/>
            <w:vAlign w:val="center"/>
          </w:tcPr>
          <w:p w14:paraId="6544C3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73A56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7C8E7828">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73F5E6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color w:val="auto"/>
                <w:kern w:val="2"/>
                <w:sz w:val="21"/>
                <w:szCs w:val="21"/>
                <w:highlight w:val="none"/>
                <w:lang w:val="en-US" w:eastAsia="zh-CN"/>
              </w:rPr>
              <w:t>含油废抹布手套</w:t>
            </w:r>
          </w:p>
        </w:tc>
        <w:tc>
          <w:tcPr>
            <w:tcW w:w="535" w:type="pct"/>
            <w:noWrap w:val="0"/>
            <w:vAlign w:val="center"/>
          </w:tcPr>
          <w:p w14:paraId="717D3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488FB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4918C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3CF42F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577" w:type="pct"/>
            <w:noWrap w:val="0"/>
            <w:vAlign w:val="center"/>
          </w:tcPr>
          <w:p w14:paraId="76801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40F80C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67" w:type="pct"/>
            <w:noWrap w:val="0"/>
            <w:vAlign w:val="center"/>
          </w:tcPr>
          <w:p w14:paraId="61415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007B3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4DF87F93">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047404B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样品废液</w:t>
            </w:r>
          </w:p>
        </w:tc>
        <w:tc>
          <w:tcPr>
            <w:tcW w:w="535" w:type="pct"/>
            <w:noWrap w:val="0"/>
            <w:vAlign w:val="center"/>
          </w:tcPr>
          <w:p w14:paraId="5D156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4994B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30E7F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24EF77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198L/a</w:t>
            </w:r>
          </w:p>
        </w:tc>
        <w:tc>
          <w:tcPr>
            <w:tcW w:w="577" w:type="pct"/>
            <w:noWrap w:val="0"/>
            <w:vAlign w:val="center"/>
          </w:tcPr>
          <w:p w14:paraId="22C13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2233E8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198L/a</w:t>
            </w:r>
          </w:p>
        </w:tc>
        <w:tc>
          <w:tcPr>
            <w:tcW w:w="467" w:type="pct"/>
            <w:noWrap w:val="0"/>
            <w:vAlign w:val="center"/>
          </w:tcPr>
          <w:p w14:paraId="10A36F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31551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72E59C63">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2478B0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snapToGrid/>
                <w:color w:val="auto"/>
                <w:kern w:val="2"/>
                <w:sz w:val="21"/>
                <w:szCs w:val="21"/>
                <w:highlight w:val="none"/>
                <w:lang w:val="en-US" w:eastAsia="zh-CN"/>
              </w:rPr>
              <w:t>实验器皿清洗废水</w:t>
            </w:r>
          </w:p>
        </w:tc>
        <w:tc>
          <w:tcPr>
            <w:tcW w:w="535" w:type="pct"/>
            <w:noWrap w:val="0"/>
            <w:vAlign w:val="center"/>
          </w:tcPr>
          <w:p w14:paraId="1A6FE9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6E491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1289F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759BFD7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577" w:type="pct"/>
            <w:noWrap w:val="0"/>
            <w:vAlign w:val="center"/>
          </w:tcPr>
          <w:p w14:paraId="0FCFE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5AA031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467" w:type="pct"/>
            <w:noWrap w:val="0"/>
            <w:vAlign w:val="center"/>
          </w:tcPr>
          <w:p w14:paraId="68970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01E18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1631E648">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1FE091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乙醚清洗废液</w:t>
            </w:r>
          </w:p>
        </w:tc>
        <w:tc>
          <w:tcPr>
            <w:tcW w:w="535" w:type="pct"/>
            <w:noWrap w:val="0"/>
            <w:vAlign w:val="center"/>
          </w:tcPr>
          <w:p w14:paraId="5AE3F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2EE81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7ECCA3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16FCF4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sz w:val="21"/>
                <w:szCs w:val="21"/>
                <w:highlight w:val="none"/>
                <w:u w:val="none"/>
                <w:lang w:val="en-US" w:eastAsia="zh-CN"/>
              </w:rPr>
              <w:t>2.4</w:t>
            </w:r>
            <w:r>
              <w:rPr>
                <w:rFonts w:hint="eastAsia" w:ascii="Times New Roman" w:hAnsi="Times New Roman" w:eastAsia="宋体" w:cs="Times New Roman"/>
                <w:color w:val="auto"/>
                <w:sz w:val="21"/>
                <w:szCs w:val="21"/>
                <w:highlight w:val="none"/>
                <w:lang w:val="en-US" w:eastAsia="zh-CN"/>
              </w:rPr>
              <w:t>L/a</w:t>
            </w:r>
          </w:p>
        </w:tc>
        <w:tc>
          <w:tcPr>
            <w:tcW w:w="577" w:type="pct"/>
            <w:noWrap w:val="0"/>
            <w:vAlign w:val="center"/>
          </w:tcPr>
          <w:p w14:paraId="65EB42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0FB0F1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sz w:val="21"/>
                <w:szCs w:val="21"/>
                <w:highlight w:val="none"/>
                <w:u w:val="none"/>
                <w:lang w:val="en-US" w:eastAsia="zh-CN"/>
              </w:rPr>
              <w:t>2.4</w:t>
            </w:r>
            <w:r>
              <w:rPr>
                <w:rFonts w:hint="eastAsia" w:ascii="Times New Roman" w:hAnsi="Times New Roman" w:eastAsia="宋体" w:cs="Times New Roman"/>
                <w:color w:val="auto"/>
                <w:sz w:val="21"/>
                <w:szCs w:val="21"/>
                <w:highlight w:val="none"/>
                <w:lang w:val="en-US" w:eastAsia="zh-CN"/>
              </w:rPr>
              <w:t>L/a</w:t>
            </w:r>
          </w:p>
        </w:tc>
        <w:tc>
          <w:tcPr>
            <w:tcW w:w="467" w:type="pct"/>
            <w:noWrap w:val="0"/>
            <w:vAlign w:val="center"/>
          </w:tcPr>
          <w:p w14:paraId="76FCA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2D1A5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538F6A62">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6FC5122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喷</w:t>
            </w:r>
            <w:r>
              <w:rPr>
                <w:rFonts w:hint="eastAsia" w:ascii="Times New Roman" w:hAnsi="Times New Roman" w:eastAsia="宋体" w:cs="Times New Roman"/>
                <w:color w:val="auto"/>
                <w:sz w:val="21"/>
                <w:szCs w:val="21"/>
                <w:highlight w:val="none"/>
                <w:lang w:val="en-US" w:eastAsia="zh-CN"/>
              </w:rPr>
              <w:t>淋塔废水</w:t>
            </w:r>
          </w:p>
        </w:tc>
        <w:tc>
          <w:tcPr>
            <w:tcW w:w="535" w:type="pct"/>
            <w:noWrap w:val="0"/>
            <w:vAlign w:val="center"/>
          </w:tcPr>
          <w:p w14:paraId="57B71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1D90A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08D31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157E3C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4.8m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tc>
        <w:tc>
          <w:tcPr>
            <w:tcW w:w="577" w:type="pct"/>
            <w:noWrap w:val="0"/>
            <w:vAlign w:val="center"/>
          </w:tcPr>
          <w:p w14:paraId="102217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461ABF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4.8m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tc>
        <w:tc>
          <w:tcPr>
            <w:tcW w:w="467" w:type="pct"/>
            <w:noWrap w:val="0"/>
            <w:vAlign w:val="center"/>
          </w:tcPr>
          <w:p w14:paraId="2CDD3A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0F4F1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0F0E7F8F">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3BBB3B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废试剂瓶</w:t>
            </w:r>
          </w:p>
        </w:tc>
        <w:tc>
          <w:tcPr>
            <w:tcW w:w="535" w:type="pct"/>
            <w:noWrap w:val="0"/>
            <w:vAlign w:val="center"/>
          </w:tcPr>
          <w:p w14:paraId="3A9B7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259ED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11E7CB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44E1C7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0.05t/a</w:t>
            </w:r>
          </w:p>
        </w:tc>
        <w:tc>
          <w:tcPr>
            <w:tcW w:w="577" w:type="pct"/>
            <w:noWrap w:val="0"/>
            <w:vAlign w:val="center"/>
          </w:tcPr>
          <w:p w14:paraId="284B2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68F708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0.05t/a</w:t>
            </w:r>
          </w:p>
        </w:tc>
        <w:tc>
          <w:tcPr>
            <w:tcW w:w="467" w:type="pct"/>
            <w:noWrap w:val="0"/>
            <w:vAlign w:val="center"/>
          </w:tcPr>
          <w:p w14:paraId="437D70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1708B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49223420">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415140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废试剂</w:t>
            </w:r>
          </w:p>
        </w:tc>
        <w:tc>
          <w:tcPr>
            <w:tcW w:w="535" w:type="pct"/>
            <w:noWrap w:val="0"/>
            <w:vAlign w:val="center"/>
          </w:tcPr>
          <w:p w14:paraId="07C91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1D9944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221BF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5FC80B5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50L/a</w:t>
            </w:r>
          </w:p>
        </w:tc>
        <w:tc>
          <w:tcPr>
            <w:tcW w:w="577" w:type="pct"/>
            <w:noWrap w:val="0"/>
            <w:vAlign w:val="center"/>
          </w:tcPr>
          <w:p w14:paraId="29C60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1E01920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50L/a</w:t>
            </w:r>
          </w:p>
        </w:tc>
        <w:tc>
          <w:tcPr>
            <w:tcW w:w="467" w:type="pct"/>
            <w:noWrap w:val="0"/>
            <w:vAlign w:val="center"/>
          </w:tcPr>
          <w:p w14:paraId="6D792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76568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vMerge w:val="continue"/>
            <w:noWrap w:val="0"/>
            <w:vAlign w:val="center"/>
          </w:tcPr>
          <w:p w14:paraId="6DC61F52">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p>
        </w:tc>
        <w:tc>
          <w:tcPr>
            <w:tcW w:w="2035" w:type="dxa"/>
            <w:noWrap w:val="0"/>
            <w:vAlign w:val="center"/>
          </w:tcPr>
          <w:p w14:paraId="5BD4F0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535" w:type="pct"/>
            <w:noWrap w:val="0"/>
            <w:vAlign w:val="center"/>
          </w:tcPr>
          <w:p w14:paraId="1C838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79A7A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25B7B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4" w:type="dxa"/>
            <w:noWrap w:val="0"/>
            <w:vAlign w:val="center"/>
          </w:tcPr>
          <w:p w14:paraId="533DE4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0.012</w:t>
            </w:r>
            <w:r>
              <w:rPr>
                <w:rFonts w:hint="default" w:ascii="Times New Roman" w:hAnsi="Times New Roman" w:eastAsia="宋体" w:cs="Times New Roman"/>
                <w:color w:val="auto"/>
                <w:sz w:val="21"/>
                <w:szCs w:val="21"/>
                <w:highlight w:val="none"/>
                <w:lang w:val="en-US" w:eastAsia="zh-CN"/>
              </w:rPr>
              <w:t>t/a</w:t>
            </w:r>
          </w:p>
        </w:tc>
        <w:tc>
          <w:tcPr>
            <w:tcW w:w="577" w:type="pct"/>
            <w:noWrap w:val="0"/>
            <w:vAlign w:val="center"/>
          </w:tcPr>
          <w:p w14:paraId="47581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5" w:type="dxa"/>
            <w:shd w:val="clear" w:color="auto" w:fill="auto"/>
            <w:noWrap w:val="0"/>
            <w:vAlign w:val="center"/>
          </w:tcPr>
          <w:p w14:paraId="5241EB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0.012</w:t>
            </w:r>
            <w:r>
              <w:rPr>
                <w:rFonts w:hint="default" w:ascii="Times New Roman" w:hAnsi="Times New Roman" w:eastAsia="宋体" w:cs="Times New Roman"/>
                <w:color w:val="auto"/>
                <w:sz w:val="21"/>
                <w:szCs w:val="21"/>
                <w:highlight w:val="none"/>
                <w:lang w:val="en-US" w:eastAsia="zh-CN"/>
              </w:rPr>
              <w:t>t/a</w:t>
            </w:r>
          </w:p>
        </w:tc>
        <w:tc>
          <w:tcPr>
            <w:tcW w:w="467" w:type="pct"/>
            <w:noWrap w:val="0"/>
            <w:vAlign w:val="center"/>
          </w:tcPr>
          <w:p w14:paraId="1E68E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23E90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76" w:type="pct"/>
            <w:noWrap w:val="0"/>
            <w:vAlign w:val="center"/>
          </w:tcPr>
          <w:p w14:paraId="2FBA8DB9">
            <w:pPr>
              <w:pStyle w:val="58"/>
              <w:keepNext w:val="0"/>
              <w:keepLines w:val="0"/>
              <w:pageBreakBefore w:val="0"/>
              <w:suppressLineNumbers w:val="0"/>
              <w:kinsoku/>
              <w:wordWrap/>
              <w:overflowPunct/>
              <w:topLinePunct w:val="0"/>
              <w:autoSpaceDE/>
              <w:autoSpaceDN/>
              <w:bidi w:val="0"/>
              <w:spacing w:beforeLines="0" w:beforeAutospacing="0" w:afterLines="0" w:afterAutospacing="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695" w:type="pct"/>
            <w:noWrap w:val="0"/>
            <w:vAlign w:val="center"/>
          </w:tcPr>
          <w:p w14:paraId="5CE0CB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535" w:type="pct"/>
            <w:noWrap w:val="0"/>
            <w:vAlign w:val="center"/>
          </w:tcPr>
          <w:p w14:paraId="58527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62" w:type="pct"/>
            <w:noWrap w:val="0"/>
            <w:vAlign w:val="center"/>
          </w:tcPr>
          <w:p w14:paraId="4E3A9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6" w:type="pct"/>
            <w:noWrap w:val="0"/>
            <w:vAlign w:val="center"/>
          </w:tcPr>
          <w:p w14:paraId="26C2B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65" w:type="pct"/>
            <w:noWrap w:val="0"/>
            <w:vAlign w:val="center"/>
          </w:tcPr>
          <w:p w14:paraId="0EA0E2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sz w:val="21"/>
                <w:szCs w:val="21"/>
                <w:highlight w:val="none"/>
                <w:u w:val="none"/>
                <w:lang w:val="en-US" w:eastAsia="zh-CN"/>
              </w:rPr>
              <w:t>12.75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577" w:type="pct"/>
            <w:noWrap w:val="0"/>
            <w:vAlign w:val="center"/>
          </w:tcPr>
          <w:p w14:paraId="7C718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3" w:type="pct"/>
            <w:noWrap w:val="0"/>
            <w:vAlign w:val="center"/>
          </w:tcPr>
          <w:p w14:paraId="21818F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sz w:val="21"/>
                <w:szCs w:val="21"/>
                <w:highlight w:val="none"/>
                <w:u w:val="none"/>
                <w:lang w:val="en-US" w:eastAsia="zh-CN"/>
              </w:rPr>
              <w:t>12.75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w:t>
            </w:r>
          </w:p>
        </w:tc>
        <w:tc>
          <w:tcPr>
            <w:tcW w:w="467" w:type="pct"/>
            <w:noWrap w:val="0"/>
            <w:vAlign w:val="center"/>
          </w:tcPr>
          <w:p w14:paraId="5AAB8F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bl>
    <w:p w14:paraId="29A22F0B">
      <w:pPr>
        <w:pStyle w:val="58"/>
        <w:spacing w:before="192" w:beforeLines="80" w:after="24"/>
        <w:jc w:val="left"/>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sectPr>
      <w:footerReference r:id="rId5" w:type="default"/>
      <w:pgSz w:w="16838" w:h="11906" w:orient="landscape"/>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A9A4">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FF118">
    <w:pPr>
      <w:pStyle w:val="20"/>
      <w:ind w:right="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665F6">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6E665F6">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C5D42">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98FEC">
                          <w:pPr>
                            <w:pStyle w:val="2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5A98FEC">
                    <w:pPr>
                      <w:pStyle w:val="2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238615"/>
    <w:multiLevelType w:val="singleLevel"/>
    <w:tmpl w:val="8C238615"/>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
    <w:nsid w:val="515FF7A0"/>
    <w:multiLevelType w:val="singleLevel"/>
    <w:tmpl w:val="515FF7A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jOTFmNDdkOWJkOGExOTBjOTQ5Mzc5MTM4YmM1OGY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4D3"/>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0DED"/>
    <w:rsid w:val="006377A6"/>
    <w:rsid w:val="00637A3D"/>
    <w:rsid w:val="006411EF"/>
    <w:rsid w:val="006455D0"/>
    <w:rsid w:val="006748B8"/>
    <w:rsid w:val="006775C3"/>
    <w:rsid w:val="0069290A"/>
    <w:rsid w:val="0069775A"/>
    <w:rsid w:val="00697813"/>
    <w:rsid w:val="006A3EE8"/>
    <w:rsid w:val="006A6856"/>
    <w:rsid w:val="006A72BF"/>
    <w:rsid w:val="006B03F2"/>
    <w:rsid w:val="006B37DC"/>
    <w:rsid w:val="006B4F68"/>
    <w:rsid w:val="006C0592"/>
    <w:rsid w:val="006C272E"/>
    <w:rsid w:val="006C5479"/>
    <w:rsid w:val="006C6D8E"/>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F7498"/>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8F7C53"/>
    <w:rsid w:val="00902727"/>
    <w:rsid w:val="0090312B"/>
    <w:rsid w:val="009042A2"/>
    <w:rsid w:val="0091736D"/>
    <w:rsid w:val="0093037A"/>
    <w:rsid w:val="0094154D"/>
    <w:rsid w:val="0095155F"/>
    <w:rsid w:val="00954429"/>
    <w:rsid w:val="009563CE"/>
    <w:rsid w:val="00976328"/>
    <w:rsid w:val="0097680D"/>
    <w:rsid w:val="00982438"/>
    <w:rsid w:val="00983551"/>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363C"/>
    <w:rsid w:val="00A368DB"/>
    <w:rsid w:val="00A40483"/>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23BF"/>
    <w:rsid w:val="00BB41A3"/>
    <w:rsid w:val="00BC32DC"/>
    <w:rsid w:val="00BC35B6"/>
    <w:rsid w:val="00BD1B51"/>
    <w:rsid w:val="00BD2CE0"/>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681B"/>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372FE"/>
    <w:rsid w:val="00E412D0"/>
    <w:rsid w:val="00E56322"/>
    <w:rsid w:val="00E60982"/>
    <w:rsid w:val="00E62C62"/>
    <w:rsid w:val="00E654C1"/>
    <w:rsid w:val="00E65D97"/>
    <w:rsid w:val="00E72A5A"/>
    <w:rsid w:val="00E73354"/>
    <w:rsid w:val="00E9242D"/>
    <w:rsid w:val="00EA42F2"/>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61682"/>
    <w:rsid w:val="01144273"/>
    <w:rsid w:val="01182AAB"/>
    <w:rsid w:val="011C1FEA"/>
    <w:rsid w:val="011D2710"/>
    <w:rsid w:val="012908DE"/>
    <w:rsid w:val="01290F7E"/>
    <w:rsid w:val="012E28B1"/>
    <w:rsid w:val="015D1E09"/>
    <w:rsid w:val="01685CAF"/>
    <w:rsid w:val="01917EC1"/>
    <w:rsid w:val="01C33A8F"/>
    <w:rsid w:val="01CB2DE6"/>
    <w:rsid w:val="01E71640"/>
    <w:rsid w:val="0215206E"/>
    <w:rsid w:val="02375F72"/>
    <w:rsid w:val="02595D21"/>
    <w:rsid w:val="026317CA"/>
    <w:rsid w:val="02697903"/>
    <w:rsid w:val="027C3466"/>
    <w:rsid w:val="02865BF0"/>
    <w:rsid w:val="029C2641"/>
    <w:rsid w:val="02B24167"/>
    <w:rsid w:val="02B638C9"/>
    <w:rsid w:val="02B8371C"/>
    <w:rsid w:val="02C25197"/>
    <w:rsid w:val="02EB6FEB"/>
    <w:rsid w:val="02F96569"/>
    <w:rsid w:val="02F9715F"/>
    <w:rsid w:val="03407526"/>
    <w:rsid w:val="035959F1"/>
    <w:rsid w:val="035C7FC3"/>
    <w:rsid w:val="037E4E6C"/>
    <w:rsid w:val="03AE265E"/>
    <w:rsid w:val="03BB115C"/>
    <w:rsid w:val="03C7353D"/>
    <w:rsid w:val="03CE2525"/>
    <w:rsid w:val="03EA7B21"/>
    <w:rsid w:val="03FA360A"/>
    <w:rsid w:val="041F4364"/>
    <w:rsid w:val="043A193D"/>
    <w:rsid w:val="04545D1C"/>
    <w:rsid w:val="04996E1D"/>
    <w:rsid w:val="04A806CF"/>
    <w:rsid w:val="04BA17F4"/>
    <w:rsid w:val="04C067A3"/>
    <w:rsid w:val="04C811FC"/>
    <w:rsid w:val="05695D38"/>
    <w:rsid w:val="058D2695"/>
    <w:rsid w:val="059B34B3"/>
    <w:rsid w:val="05A205D6"/>
    <w:rsid w:val="05A3087A"/>
    <w:rsid w:val="05A74486"/>
    <w:rsid w:val="05B51FCF"/>
    <w:rsid w:val="05B82BD2"/>
    <w:rsid w:val="05E7748A"/>
    <w:rsid w:val="05F83EAE"/>
    <w:rsid w:val="063E7D85"/>
    <w:rsid w:val="063F3CBE"/>
    <w:rsid w:val="06582E3C"/>
    <w:rsid w:val="067A5E1F"/>
    <w:rsid w:val="069D04EE"/>
    <w:rsid w:val="06BD229F"/>
    <w:rsid w:val="06DC1EA1"/>
    <w:rsid w:val="06E823B9"/>
    <w:rsid w:val="06EE2458"/>
    <w:rsid w:val="06F9582D"/>
    <w:rsid w:val="070B65E7"/>
    <w:rsid w:val="07136F26"/>
    <w:rsid w:val="07293586"/>
    <w:rsid w:val="07295285"/>
    <w:rsid w:val="072D7404"/>
    <w:rsid w:val="07373219"/>
    <w:rsid w:val="075B787E"/>
    <w:rsid w:val="07636392"/>
    <w:rsid w:val="07770C56"/>
    <w:rsid w:val="07BE1B9E"/>
    <w:rsid w:val="07C17B6D"/>
    <w:rsid w:val="07C85450"/>
    <w:rsid w:val="07E66332"/>
    <w:rsid w:val="07EC1B87"/>
    <w:rsid w:val="081149E6"/>
    <w:rsid w:val="082A20B1"/>
    <w:rsid w:val="083B791F"/>
    <w:rsid w:val="084467F1"/>
    <w:rsid w:val="08482071"/>
    <w:rsid w:val="08826B46"/>
    <w:rsid w:val="08B640D9"/>
    <w:rsid w:val="08C350E2"/>
    <w:rsid w:val="08D010AC"/>
    <w:rsid w:val="08D20524"/>
    <w:rsid w:val="08D92951"/>
    <w:rsid w:val="09067F2D"/>
    <w:rsid w:val="09216B15"/>
    <w:rsid w:val="092217DD"/>
    <w:rsid w:val="092438F0"/>
    <w:rsid w:val="0936121B"/>
    <w:rsid w:val="093A3733"/>
    <w:rsid w:val="093A7294"/>
    <w:rsid w:val="093B3973"/>
    <w:rsid w:val="0979416D"/>
    <w:rsid w:val="097C62F7"/>
    <w:rsid w:val="0996113B"/>
    <w:rsid w:val="09C77819"/>
    <w:rsid w:val="09F4422A"/>
    <w:rsid w:val="0A0E25C5"/>
    <w:rsid w:val="0A1A6962"/>
    <w:rsid w:val="0A263993"/>
    <w:rsid w:val="0A2D3AC2"/>
    <w:rsid w:val="0A567B32"/>
    <w:rsid w:val="0A5A3129"/>
    <w:rsid w:val="0A7113D6"/>
    <w:rsid w:val="0A8A2498"/>
    <w:rsid w:val="0A8E66E2"/>
    <w:rsid w:val="0A982950"/>
    <w:rsid w:val="0A9D59C4"/>
    <w:rsid w:val="0AA55DCA"/>
    <w:rsid w:val="0AA755DF"/>
    <w:rsid w:val="0AD970FF"/>
    <w:rsid w:val="0B0E7E30"/>
    <w:rsid w:val="0B120D44"/>
    <w:rsid w:val="0B251657"/>
    <w:rsid w:val="0B5D55D7"/>
    <w:rsid w:val="0B9643D9"/>
    <w:rsid w:val="0BD27BF6"/>
    <w:rsid w:val="0BFC5D20"/>
    <w:rsid w:val="0C387597"/>
    <w:rsid w:val="0C3B3C7D"/>
    <w:rsid w:val="0C3B4D0A"/>
    <w:rsid w:val="0C8C2555"/>
    <w:rsid w:val="0C9615C8"/>
    <w:rsid w:val="0CAB2EAE"/>
    <w:rsid w:val="0CD43D60"/>
    <w:rsid w:val="0CDE65D5"/>
    <w:rsid w:val="0CEC72F9"/>
    <w:rsid w:val="0D127E4D"/>
    <w:rsid w:val="0D20195B"/>
    <w:rsid w:val="0D2D4504"/>
    <w:rsid w:val="0D404988"/>
    <w:rsid w:val="0D5A6CAA"/>
    <w:rsid w:val="0D621C7D"/>
    <w:rsid w:val="0D731A97"/>
    <w:rsid w:val="0D870F11"/>
    <w:rsid w:val="0D874D8D"/>
    <w:rsid w:val="0D8B7595"/>
    <w:rsid w:val="0DA25D4B"/>
    <w:rsid w:val="0DAC4BAD"/>
    <w:rsid w:val="0DDC6DA8"/>
    <w:rsid w:val="0E024E89"/>
    <w:rsid w:val="0E0407B3"/>
    <w:rsid w:val="0E214EC1"/>
    <w:rsid w:val="0E337B8B"/>
    <w:rsid w:val="0E3D3B4E"/>
    <w:rsid w:val="0E3D7516"/>
    <w:rsid w:val="0E6112B3"/>
    <w:rsid w:val="0E73034D"/>
    <w:rsid w:val="0E8F62CF"/>
    <w:rsid w:val="0E9C4E5E"/>
    <w:rsid w:val="0EAC002A"/>
    <w:rsid w:val="0EC474B2"/>
    <w:rsid w:val="0ECB2D5A"/>
    <w:rsid w:val="0ED56DC0"/>
    <w:rsid w:val="0EDD7177"/>
    <w:rsid w:val="0EF62FB3"/>
    <w:rsid w:val="0F0379DB"/>
    <w:rsid w:val="0F0A3BA7"/>
    <w:rsid w:val="0F13775A"/>
    <w:rsid w:val="0F165DDF"/>
    <w:rsid w:val="0F203DE2"/>
    <w:rsid w:val="0F284C16"/>
    <w:rsid w:val="0F2944C8"/>
    <w:rsid w:val="0F317386"/>
    <w:rsid w:val="0F4A440F"/>
    <w:rsid w:val="0F533EF7"/>
    <w:rsid w:val="0F5F45FE"/>
    <w:rsid w:val="0F62655D"/>
    <w:rsid w:val="0F714162"/>
    <w:rsid w:val="0F786E19"/>
    <w:rsid w:val="0F84395A"/>
    <w:rsid w:val="0F9A112B"/>
    <w:rsid w:val="0FA462F9"/>
    <w:rsid w:val="0FAF6CA9"/>
    <w:rsid w:val="0FC72D4B"/>
    <w:rsid w:val="0FD901BC"/>
    <w:rsid w:val="0FDF3D33"/>
    <w:rsid w:val="0FFF57C7"/>
    <w:rsid w:val="10162AAF"/>
    <w:rsid w:val="10245AFC"/>
    <w:rsid w:val="103F191C"/>
    <w:rsid w:val="106D2F64"/>
    <w:rsid w:val="10710C3E"/>
    <w:rsid w:val="1082381E"/>
    <w:rsid w:val="10855790"/>
    <w:rsid w:val="1091697E"/>
    <w:rsid w:val="10AD6DD2"/>
    <w:rsid w:val="10AE63A0"/>
    <w:rsid w:val="10B244F7"/>
    <w:rsid w:val="10B63710"/>
    <w:rsid w:val="10C53612"/>
    <w:rsid w:val="10DD77C5"/>
    <w:rsid w:val="10E25CDE"/>
    <w:rsid w:val="10F024A5"/>
    <w:rsid w:val="10F10820"/>
    <w:rsid w:val="11027C0B"/>
    <w:rsid w:val="110622A1"/>
    <w:rsid w:val="111C2F7A"/>
    <w:rsid w:val="112B5FDB"/>
    <w:rsid w:val="11494E5B"/>
    <w:rsid w:val="11665CA1"/>
    <w:rsid w:val="11707F2A"/>
    <w:rsid w:val="11771B12"/>
    <w:rsid w:val="11BC4769"/>
    <w:rsid w:val="11D201C8"/>
    <w:rsid w:val="11D30D98"/>
    <w:rsid w:val="11D347F2"/>
    <w:rsid w:val="11EC3A38"/>
    <w:rsid w:val="120631DD"/>
    <w:rsid w:val="12094BEA"/>
    <w:rsid w:val="12494EF8"/>
    <w:rsid w:val="1272729D"/>
    <w:rsid w:val="127D4504"/>
    <w:rsid w:val="129D3F08"/>
    <w:rsid w:val="12A65560"/>
    <w:rsid w:val="12B36EF1"/>
    <w:rsid w:val="12D068D8"/>
    <w:rsid w:val="13062D48"/>
    <w:rsid w:val="134869D4"/>
    <w:rsid w:val="13531CD4"/>
    <w:rsid w:val="1369469F"/>
    <w:rsid w:val="13800E43"/>
    <w:rsid w:val="139020F2"/>
    <w:rsid w:val="13951726"/>
    <w:rsid w:val="13B026B3"/>
    <w:rsid w:val="13C702B9"/>
    <w:rsid w:val="13C725F2"/>
    <w:rsid w:val="13EB7243"/>
    <w:rsid w:val="141A4847"/>
    <w:rsid w:val="14383011"/>
    <w:rsid w:val="14396509"/>
    <w:rsid w:val="14515F34"/>
    <w:rsid w:val="148752D1"/>
    <w:rsid w:val="149F7057"/>
    <w:rsid w:val="14A960ED"/>
    <w:rsid w:val="14B27262"/>
    <w:rsid w:val="14C52A4A"/>
    <w:rsid w:val="14DD2C3C"/>
    <w:rsid w:val="14DE2001"/>
    <w:rsid w:val="14E943DE"/>
    <w:rsid w:val="152607CA"/>
    <w:rsid w:val="15381517"/>
    <w:rsid w:val="153F1720"/>
    <w:rsid w:val="155F0AD3"/>
    <w:rsid w:val="15971DF2"/>
    <w:rsid w:val="15C74630"/>
    <w:rsid w:val="15D21D54"/>
    <w:rsid w:val="15D41DB2"/>
    <w:rsid w:val="16031BBB"/>
    <w:rsid w:val="16087E1D"/>
    <w:rsid w:val="16321DBF"/>
    <w:rsid w:val="1660508B"/>
    <w:rsid w:val="167511B1"/>
    <w:rsid w:val="168B1227"/>
    <w:rsid w:val="16A22C5D"/>
    <w:rsid w:val="16B33C23"/>
    <w:rsid w:val="16DB7E61"/>
    <w:rsid w:val="16E253B0"/>
    <w:rsid w:val="16FF5E45"/>
    <w:rsid w:val="17043677"/>
    <w:rsid w:val="171605F5"/>
    <w:rsid w:val="17365475"/>
    <w:rsid w:val="17431764"/>
    <w:rsid w:val="175470DB"/>
    <w:rsid w:val="17701D14"/>
    <w:rsid w:val="17735226"/>
    <w:rsid w:val="179B77D0"/>
    <w:rsid w:val="17BF6703"/>
    <w:rsid w:val="17C06C35"/>
    <w:rsid w:val="17D7416C"/>
    <w:rsid w:val="17DA26B4"/>
    <w:rsid w:val="17E07780"/>
    <w:rsid w:val="180F2AE1"/>
    <w:rsid w:val="182C651F"/>
    <w:rsid w:val="187F3433"/>
    <w:rsid w:val="1881137E"/>
    <w:rsid w:val="188D5EF6"/>
    <w:rsid w:val="189F624C"/>
    <w:rsid w:val="18A95B7D"/>
    <w:rsid w:val="18E56B18"/>
    <w:rsid w:val="18F9363D"/>
    <w:rsid w:val="192848F3"/>
    <w:rsid w:val="19341F4D"/>
    <w:rsid w:val="19375352"/>
    <w:rsid w:val="1984589A"/>
    <w:rsid w:val="199248B0"/>
    <w:rsid w:val="199F174C"/>
    <w:rsid w:val="19AE6EC2"/>
    <w:rsid w:val="1A147FD0"/>
    <w:rsid w:val="1A1C66C0"/>
    <w:rsid w:val="1A42393B"/>
    <w:rsid w:val="1A604FC3"/>
    <w:rsid w:val="1A6934AF"/>
    <w:rsid w:val="1A9D1938"/>
    <w:rsid w:val="1AAD45DE"/>
    <w:rsid w:val="1AD26D37"/>
    <w:rsid w:val="1AE16104"/>
    <w:rsid w:val="1AE856E5"/>
    <w:rsid w:val="1AFD41FB"/>
    <w:rsid w:val="1B046F80"/>
    <w:rsid w:val="1B3267B5"/>
    <w:rsid w:val="1B40161D"/>
    <w:rsid w:val="1B441859"/>
    <w:rsid w:val="1B6606B1"/>
    <w:rsid w:val="1B6E4275"/>
    <w:rsid w:val="1B7679E3"/>
    <w:rsid w:val="1B8F6758"/>
    <w:rsid w:val="1BB221CB"/>
    <w:rsid w:val="1BD143CB"/>
    <w:rsid w:val="1BD15989"/>
    <w:rsid w:val="1BE252BE"/>
    <w:rsid w:val="1C0317EE"/>
    <w:rsid w:val="1C212DB9"/>
    <w:rsid w:val="1C5E7925"/>
    <w:rsid w:val="1C646D5B"/>
    <w:rsid w:val="1C664320"/>
    <w:rsid w:val="1C6C6C58"/>
    <w:rsid w:val="1CB03B29"/>
    <w:rsid w:val="1CB740C3"/>
    <w:rsid w:val="1CC908DA"/>
    <w:rsid w:val="1CDA52F4"/>
    <w:rsid w:val="1CDF0421"/>
    <w:rsid w:val="1CFD070F"/>
    <w:rsid w:val="1D01448A"/>
    <w:rsid w:val="1D052531"/>
    <w:rsid w:val="1D5F3920"/>
    <w:rsid w:val="1D5F6196"/>
    <w:rsid w:val="1D6132A5"/>
    <w:rsid w:val="1D8E56D5"/>
    <w:rsid w:val="1D9D38B1"/>
    <w:rsid w:val="1DA376A1"/>
    <w:rsid w:val="1DA9777E"/>
    <w:rsid w:val="1DCD7188"/>
    <w:rsid w:val="1DF2130A"/>
    <w:rsid w:val="1DFF6D69"/>
    <w:rsid w:val="1E0A1AC8"/>
    <w:rsid w:val="1E125D01"/>
    <w:rsid w:val="1E23668A"/>
    <w:rsid w:val="1E2430D7"/>
    <w:rsid w:val="1E340740"/>
    <w:rsid w:val="1E4B75AE"/>
    <w:rsid w:val="1E677EA9"/>
    <w:rsid w:val="1E7A43DA"/>
    <w:rsid w:val="1E7B6870"/>
    <w:rsid w:val="1E8D5251"/>
    <w:rsid w:val="1E991B5B"/>
    <w:rsid w:val="1E991D4D"/>
    <w:rsid w:val="1E9F7EDB"/>
    <w:rsid w:val="1EAC796D"/>
    <w:rsid w:val="1EBF5410"/>
    <w:rsid w:val="1EC27FFB"/>
    <w:rsid w:val="1ED57D2E"/>
    <w:rsid w:val="1EDF2D96"/>
    <w:rsid w:val="1EE95F38"/>
    <w:rsid w:val="1EF77EDF"/>
    <w:rsid w:val="1F2A6EAC"/>
    <w:rsid w:val="1F396E36"/>
    <w:rsid w:val="1F5C3ED2"/>
    <w:rsid w:val="1F740DA2"/>
    <w:rsid w:val="1F951924"/>
    <w:rsid w:val="1F954320"/>
    <w:rsid w:val="1FA616CA"/>
    <w:rsid w:val="1FA80898"/>
    <w:rsid w:val="1FAD6B4E"/>
    <w:rsid w:val="1FBB2457"/>
    <w:rsid w:val="1FD546EF"/>
    <w:rsid w:val="1FE0198E"/>
    <w:rsid w:val="1FE5049A"/>
    <w:rsid w:val="1FE7539E"/>
    <w:rsid w:val="1FE825FE"/>
    <w:rsid w:val="201046FC"/>
    <w:rsid w:val="20276C79"/>
    <w:rsid w:val="205A0DB8"/>
    <w:rsid w:val="206104AB"/>
    <w:rsid w:val="20671BE0"/>
    <w:rsid w:val="20776912"/>
    <w:rsid w:val="20963CB8"/>
    <w:rsid w:val="20A81A1B"/>
    <w:rsid w:val="20AE052D"/>
    <w:rsid w:val="20B07FB6"/>
    <w:rsid w:val="20B646FB"/>
    <w:rsid w:val="20B910C9"/>
    <w:rsid w:val="213B74B1"/>
    <w:rsid w:val="21584C46"/>
    <w:rsid w:val="215A2310"/>
    <w:rsid w:val="21693068"/>
    <w:rsid w:val="21771CE5"/>
    <w:rsid w:val="218F079C"/>
    <w:rsid w:val="21981D50"/>
    <w:rsid w:val="21C51F74"/>
    <w:rsid w:val="21CE0DB6"/>
    <w:rsid w:val="21CF0DF0"/>
    <w:rsid w:val="21DB190F"/>
    <w:rsid w:val="21DE318A"/>
    <w:rsid w:val="21E36CE2"/>
    <w:rsid w:val="21EE3E33"/>
    <w:rsid w:val="21EF5B80"/>
    <w:rsid w:val="22286494"/>
    <w:rsid w:val="22495379"/>
    <w:rsid w:val="22521058"/>
    <w:rsid w:val="22576990"/>
    <w:rsid w:val="227D4896"/>
    <w:rsid w:val="227E6A61"/>
    <w:rsid w:val="228253FC"/>
    <w:rsid w:val="229C4BB4"/>
    <w:rsid w:val="22B934C3"/>
    <w:rsid w:val="22D37090"/>
    <w:rsid w:val="22DA059D"/>
    <w:rsid w:val="22F47480"/>
    <w:rsid w:val="231B1CAD"/>
    <w:rsid w:val="2328343C"/>
    <w:rsid w:val="235A5460"/>
    <w:rsid w:val="236C4363"/>
    <w:rsid w:val="23A56602"/>
    <w:rsid w:val="23B51FA5"/>
    <w:rsid w:val="23DE1C48"/>
    <w:rsid w:val="23E334BA"/>
    <w:rsid w:val="240210CD"/>
    <w:rsid w:val="24087567"/>
    <w:rsid w:val="246359B8"/>
    <w:rsid w:val="247026F4"/>
    <w:rsid w:val="247C1764"/>
    <w:rsid w:val="2483647E"/>
    <w:rsid w:val="249259A1"/>
    <w:rsid w:val="24A35015"/>
    <w:rsid w:val="24A8164A"/>
    <w:rsid w:val="24BF09F7"/>
    <w:rsid w:val="24E75500"/>
    <w:rsid w:val="24F95511"/>
    <w:rsid w:val="250D7824"/>
    <w:rsid w:val="250F298A"/>
    <w:rsid w:val="252D53FE"/>
    <w:rsid w:val="25525889"/>
    <w:rsid w:val="255635B6"/>
    <w:rsid w:val="256C6F12"/>
    <w:rsid w:val="258848A3"/>
    <w:rsid w:val="25A72595"/>
    <w:rsid w:val="25C12DBA"/>
    <w:rsid w:val="25C729D0"/>
    <w:rsid w:val="25C9017D"/>
    <w:rsid w:val="25D40298"/>
    <w:rsid w:val="25E91B85"/>
    <w:rsid w:val="25E94E97"/>
    <w:rsid w:val="25EC2D81"/>
    <w:rsid w:val="25F74A2E"/>
    <w:rsid w:val="26003461"/>
    <w:rsid w:val="26061857"/>
    <w:rsid w:val="261A071C"/>
    <w:rsid w:val="26254025"/>
    <w:rsid w:val="26284BE7"/>
    <w:rsid w:val="26387FB8"/>
    <w:rsid w:val="263E0984"/>
    <w:rsid w:val="26405192"/>
    <w:rsid w:val="264801F6"/>
    <w:rsid w:val="26655963"/>
    <w:rsid w:val="26855C00"/>
    <w:rsid w:val="26920BFA"/>
    <w:rsid w:val="26976DF6"/>
    <w:rsid w:val="269D465D"/>
    <w:rsid w:val="26A10E3D"/>
    <w:rsid w:val="26A81F65"/>
    <w:rsid w:val="26AE3B66"/>
    <w:rsid w:val="26BF5B5F"/>
    <w:rsid w:val="26C7716B"/>
    <w:rsid w:val="26CB039A"/>
    <w:rsid w:val="26D5523B"/>
    <w:rsid w:val="27213FDD"/>
    <w:rsid w:val="276556AE"/>
    <w:rsid w:val="277057A2"/>
    <w:rsid w:val="277966B6"/>
    <w:rsid w:val="278A18D2"/>
    <w:rsid w:val="27C84BBE"/>
    <w:rsid w:val="27CB6DF0"/>
    <w:rsid w:val="27D46A39"/>
    <w:rsid w:val="27F44786"/>
    <w:rsid w:val="28043249"/>
    <w:rsid w:val="280E5C2A"/>
    <w:rsid w:val="282B2D1E"/>
    <w:rsid w:val="28546241"/>
    <w:rsid w:val="2888308E"/>
    <w:rsid w:val="28940C5A"/>
    <w:rsid w:val="289D5DA1"/>
    <w:rsid w:val="28AF39C1"/>
    <w:rsid w:val="28B83F1F"/>
    <w:rsid w:val="28B876A8"/>
    <w:rsid w:val="28CC051F"/>
    <w:rsid w:val="290E6B5D"/>
    <w:rsid w:val="2920429C"/>
    <w:rsid w:val="29206EB8"/>
    <w:rsid w:val="292557C0"/>
    <w:rsid w:val="292B4C42"/>
    <w:rsid w:val="294236A7"/>
    <w:rsid w:val="29466370"/>
    <w:rsid w:val="29591241"/>
    <w:rsid w:val="29595666"/>
    <w:rsid w:val="2961770D"/>
    <w:rsid w:val="297064D0"/>
    <w:rsid w:val="29707BD7"/>
    <w:rsid w:val="297319E7"/>
    <w:rsid w:val="297B2FD6"/>
    <w:rsid w:val="297C43D0"/>
    <w:rsid w:val="29874881"/>
    <w:rsid w:val="299802D6"/>
    <w:rsid w:val="299926E4"/>
    <w:rsid w:val="29A0718A"/>
    <w:rsid w:val="29A63587"/>
    <w:rsid w:val="29A63DC2"/>
    <w:rsid w:val="29A749BD"/>
    <w:rsid w:val="29AD2665"/>
    <w:rsid w:val="29CA7FDD"/>
    <w:rsid w:val="29E325E0"/>
    <w:rsid w:val="2A1B0443"/>
    <w:rsid w:val="2A1D021C"/>
    <w:rsid w:val="2A25605F"/>
    <w:rsid w:val="2A351FC9"/>
    <w:rsid w:val="2A4100AB"/>
    <w:rsid w:val="2A452503"/>
    <w:rsid w:val="2A4F0F81"/>
    <w:rsid w:val="2A506E02"/>
    <w:rsid w:val="2A635327"/>
    <w:rsid w:val="2AEF7D1D"/>
    <w:rsid w:val="2B1F115A"/>
    <w:rsid w:val="2B2F271E"/>
    <w:rsid w:val="2B3B48EE"/>
    <w:rsid w:val="2B5557E5"/>
    <w:rsid w:val="2B696651"/>
    <w:rsid w:val="2B7A7130"/>
    <w:rsid w:val="2B9B2157"/>
    <w:rsid w:val="2BA936A8"/>
    <w:rsid w:val="2BC67653"/>
    <w:rsid w:val="2BEE2F0F"/>
    <w:rsid w:val="2C11401F"/>
    <w:rsid w:val="2C18169A"/>
    <w:rsid w:val="2C315A5A"/>
    <w:rsid w:val="2C35005E"/>
    <w:rsid w:val="2C380015"/>
    <w:rsid w:val="2C3A2E19"/>
    <w:rsid w:val="2C491956"/>
    <w:rsid w:val="2C4B1C25"/>
    <w:rsid w:val="2C62711D"/>
    <w:rsid w:val="2C8459A5"/>
    <w:rsid w:val="2CA57030"/>
    <w:rsid w:val="2CA57860"/>
    <w:rsid w:val="2CA62D0A"/>
    <w:rsid w:val="2CAC6FDA"/>
    <w:rsid w:val="2CD10039"/>
    <w:rsid w:val="2CD244F2"/>
    <w:rsid w:val="2CD8494B"/>
    <w:rsid w:val="2CDC6A95"/>
    <w:rsid w:val="2CE220FD"/>
    <w:rsid w:val="2CF810E1"/>
    <w:rsid w:val="2D086DCF"/>
    <w:rsid w:val="2D6629C0"/>
    <w:rsid w:val="2D86591E"/>
    <w:rsid w:val="2D9E56F5"/>
    <w:rsid w:val="2DEB25AB"/>
    <w:rsid w:val="2E070A94"/>
    <w:rsid w:val="2E0C1D1A"/>
    <w:rsid w:val="2E3347B7"/>
    <w:rsid w:val="2E410EF0"/>
    <w:rsid w:val="2E555EBC"/>
    <w:rsid w:val="2E567806"/>
    <w:rsid w:val="2E641A7D"/>
    <w:rsid w:val="2E667F96"/>
    <w:rsid w:val="2E70200E"/>
    <w:rsid w:val="2E78762B"/>
    <w:rsid w:val="2E8226AB"/>
    <w:rsid w:val="2F0421BC"/>
    <w:rsid w:val="2F282AC8"/>
    <w:rsid w:val="2F3B4BC3"/>
    <w:rsid w:val="2F4058E6"/>
    <w:rsid w:val="2F4A4570"/>
    <w:rsid w:val="2F622B7D"/>
    <w:rsid w:val="2F6E67B0"/>
    <w:rsid w:val="2F743672"/>
    <w:rsid w:val="2F786F38"/>
    <w:rsid w:val="2F8209CD"/>
    <w:rsid w:val="2FA604AD"/>
    <w:rsid w:val="2FB719BD"/>
    <w:rsid w:val="2FD065E6"/>
    <w:rsid w:val="2FD96870"/>
    <w:rsid w:val="2FE94CD4"/>
    <w:rsid w:val="2FFA37B5"/>
    <w:rsid w:val="30103E16"/>
    <w:rsid w:val="3014318B"/>
    <w:rsid w:val="30502CA1"/>
    <w:rsid w:val="30580BC9"/>
    <w:rsid w:val="3071362F"/>
    <w:rsid w:val="309532C1"/>
    <w:rsid w:val="311E2ED7"/>
    <w:rsid w:val="313779FE"/>
    <w:rsid w:val="315619EE"/>
    <w:rsid w:val="31562AC5"/>
    <w:rsid w:val="315C449C"/>
    <w:rsid w:val="316A5A29"/>
    <w:rsid w:val="318A0D6D"/>
    <w:rsid w:val="318F61CC"/>
    <w:rsid w:val="31982AB8"/>
    <w:rsid w:val="31AB2462"/>
    <w:rsid w:val="31B41A25"/>
    <w:rsid w:val="31B82709"/>
    <w:rsid w:val="31BE0AF5"/>
    <w:rsid w:val="31D05482"/>
    <w:rsid w:val="32070EBD"/>
    <w:rsid w:val="32072E9D"/>
    <w:rsid w:val="320C7AB3"/>
    <w:rsid w:val="32202B68"/>
    <w:rsid w:val="32272C52"/>
    <w:rsid w:val="322B63AB"/>
    <w:rsid w:val="32354BCA"/>
    <w:rsid w:val="32400B34"/>
    <w:rsid w:val="325B12AD"/>
    <w:rsid w:val="325B6344"/>
    <w:rsid w:val="32797172"/>
    <w:rsid w:val="32905658"/>
    <w:rsid w:val="329E6876"/>
    <w:rsid w:val="32BA5D4F"/>
    <w:rsid w:val="32DF0D23"/>
    <w:rsid w:val="32E83AB5"/>
    <w:rsid w:val="33092244"/>
    <w:rsid w:val="333015F2"/>
    <w:rsid w:val="33347132"/>
    <w:rsid w:val="334B6320"/>
    <w:rsid w:val="33572FB0"/>
    <w:rsid w:val="33590024"/>
    <w:rsid w:val="336340F0"/>
    <w:rsid w:val="336550DF"/>
    <w:rsid w:val="33924366"/>
    <w:rsid w:val="339304CB"/>
    <w:rsid w:val="339F7D15"/>
    <w:rsid w:val="33B43831"/>
    <w:rsid w:val="33D934D4"/>
    <w:rsid w:val="33DB7CF5"/>
    <w:rsid w:val="33EB68EA"/>
    <w:rsid w:val="33F53EF4"/>
    <w:rsid w:val="33FE2F6A"/>
    <w:rsid w:val="340E07E5"/>
    <w:rsid w:val="34121619"/>
    <w:rsid w:val="341F2BE1"/>
    <w:rsid w:val="34235BF7"/>
    <w:rsid w:val="34270262"/>
    <w:rsid w:val="342B073F"/>
    <w:rsid w:val="342C5545"/>
    <w:rsid w:val="34403A44"/>
    <w:rsid w:val="345111DE"/>
    <w:rsid w:val="345D63A4"/>
    <w:rsid w:val="3480340D"/>
    <w:rsid w:val="349B45FD"/>
    <w:rsid w:val="34A36A44"/>
    <w:rsid w:val="34A76572"/>
    <w:rsid w:val="34B91CD1"/>
    <w:rsid w:val="34BC4C1A"/>
    <w:rsid w:val="34F74E67"/>
    <w:rsid w:val="34F8431E"/>
    <w:rsid w:val="354F5F44"/>
    <w:rsid w:val="35522BDC"/>
    <w:rsid w:val="357363DA"/>
    <w:rsid w:val="357D0F98"/>
    <w:rsid w:val="358C5FA8"/>
    <w:rsid w:val="358D44CD"/>
    <w:rsid w:val="359D332B"/>
    <w:rsid w:val="35C15DF1"/>
    <w:rsid w:val="35D562E6"/>
    <w:rsid w:val="35FA30A8"/>
    <w:rsid w:val="36074A7F"/>
    <w:rsid w:val="360A1DA1"/>
    <w:rsid w:val="360F0FB5"/>
    <w:rsid w:val="3615108F"/>
    <w:rsid w:val="36467951"/>
    <w:rsid w:val="364A0BAA"/>
    <w:rsid w:val="364A5046"/>
    <w:rsid w:val="36655282"/>
    <w:rsid w:val="36923549"/>
    <w:rsid w:val="3699578D"/>
    <w:rsid w:val="36A302BA"/>
    <w:rsid w:val="36B75FBF"/>
    <w:rsid w:val="36BD0C45"/>
    <w:rsid w:val="36E101BE"/>
    <w:rsid w:val="36E75B50"/>
    <w:rsid w:val="3713597B"/>
    <w:rsid w:val="37687EEE"/>
    <w:rsid w:val="37836C4F"/>
    <w:rsid w:val="37863BE1"/>
    <w:rsid w:val="37AB1B65"/>
    <w:rsid w:val="37BB26F8"/>
    <w:rsid w:val="37CC0112"/>
    <w:rsid w:val="37E00298"/>
    <w:rsid w:val="37F93C8A"/>
    <w:rsid w:val="383254EA"/>
    <w:rsid w:val="38484045"/>
    <w:rsid w:val="384D672F"/>
    <w:rsid w:val="3852750D"/>
    <w:rsid w:val="38563836"/>
    <w:rsid w:val="385751DA"/>
    <w:rsid w:val="386C5905"/>
    <w:rsid w:val="38871C41"/>
    <w:rsid w:val="388C36FB"/>
    <w:rsid w:val="389A2D2B"/>
    <w:rsid w:val="38B302F9"/>
    <w:rsid w:val="38BB18EB"/>
    <w:rsid w:val="38ED7314"/>
    <w:rsid w:val="38EE247D"/>
    <w:rsid w:val="38F12CD3"/>
    <w:rsid w:val="38F94775"/>
    <w:rsid w:val="38FD5C8E"/>
    <w:rsid w:val="392971ED"/>
    <w:rsid w:val="39325651"/>
    <w:rsid w:val="39365DE3"/>
    <w:rsid w:val="393A21AB"/>
    <w:rsid w:val="393B683F"/>
    <w:rsid w:val="395250BB"/>
    <w:rsid w:val="39604E7A"/>
    <w:rsid w:val="396325EA"/>
    <w:rsid w:val="39721EAA"/>
    <w:rsid w:val="397305AE"/>
    <w:rsid w:val="398B4D6E"/>
    <w:rsid w:val="39BE51FE"/>
    <w:rsid w:val="39E03DAB"/>
    <w:rsid w:val="39EF63B3"/>
    <w:rsid w:val="39F34953"/>
    <w:rsid w:val="39F54445"/>
    <w:rsid w:val="3A184DB5"/>
    <w:rsid w:val="3A192D6D"/>
    <w:rsid w:val="3A5F5F63"/>
    <w:rsid w:val="3A872856"/>
    <w:rsid w:val="3A9B7E8B"/>
    <w:rsid w:val="3ADB1937"/>
    <w:rsid w:val="3ADF4B88"/>
    <w:rsid w:val="3AE94395"/>
    <w:rsid w:val="3B120446"/>
    <w:rsid w:val="3B15480B"/>
    <w:rsid w:val="3B242820"/>
    <w:rsid w:val="3B2873A3"/>
    <w:rsid w:val="3B3763D1"/>
    <w:rsid w:val="3B535F41"/>
    <w:rsid w:val="3B537311"/>
    <w:rsid w:val="3B7262A4"/>
    <w:rsid w:val="3B7426D3"/>
    <w:rsid w:val="3B936DCB"/>
    <w:rsid w:val="3B972397"/>
    <w:rsid w:val="3BA46862"/>
    <w:rsid w:val="3BC06AC4"/>
    <w:rsid w:val="3BD97E8A"/>
    <w:rsid w:val="3BE178BA"/>
    <w:rsid w:val="3BE6618B"/>
    <w:rsid w:val="3C00585C"/>
    <w:rsid w:val="3C2A58C0"/>
    <w:rsid w:val="3C2F6E1E"/>
    <w:rsid w:val="3C313506"/>
    <w:rsid w:val="3C346F30"/>
    <w:rsid w:val="3C405EE7"/>
    <w:rsid w:val="3C4762A7"/>
    <w:rsid w:val="3C4F64BA"/>
    <w:rsid w:val="3C897F0F"/>
    <w:rsid w:val="3C99629A"/>
    <w:rsid w:val="3CC66D60"/>
    <w:rsid w:val="3CD278D9"/>
    <w:rsid w:val="3CDA245A"/>
    <w:rsid w:val="3CDE2180"/>
    <w:rsid w:val="3CF117EB"/>
    <w:rsid w:val="3D1E06B7"/>
    <w:rsid w:val="3D202664"/>
    <w:rsid w:val="3D3728B3"/>
    <w:rsid w:val="3D4B5F2D"/>
    <w:rsid w:val="3D5918F7"/>
    <w:rsid w:val="3D71655C"/>
    <w:rsid w:val="3D735A49"/>
    <w:rsid w:val="3D8F2FDC"/>
    <w:rsid w:val="3D933650"/>
    <w:rsid w:val="3DBC3CBA"/>
    <w:rsid w:val="3DD05E38"/>
    <w:rsid w:val="3DEE62BF"/>
    <w:rsid w:val="3DFC496D"/>
    <w:rsid w:val="3E792D4F"/>
    <w:rsid w:val="3E9173A4"/>
    <w:rsid w:val="3EA9598A"/>
    <w:rsid w:val="3EC01CEB"/>
    <w:rsid w:val="3ED37CC7"/>
    <w:rsid w:val="3EDA0523"/>
    <w:rsid w:val="3EDF0BF8"/>
    <w:rsid w:val="3EF9579A"/>
    <w:rsid w:val="3F10773B"/>
    <w:rsid w:val="3F306C57"/>
    <w:rsid w:val="3F333B53"/>
    <w:rsid w:val="3F544847"/>
    <w:rsid w:val="3F5F6EE3"/>
    <w:rsid w:val="3F7B614F"/>
    <w:rsid w:val="3F8026A9"/>
    <w:rsid w:val="3FA14BEC"/>
    <w:rsid w:val="3FA2166B"/>
    <w:rsid w:val="3FB13A48"/>
    <w:rsid w:val="3FC946C0"/>
    <w:rsid w:val="3FC97621"/>
    <w:rsid w:val="3FE200A5"/>
    <w:rsid w:val="400B4C41"/>
    <w:rsid w:val="401F09B1"/>
    <w:rsid w:val="402B779E"/>
    <w:rsid w:val="405E50A0"/>
    <w:rsid w:val="40610FCA"/>
    <w:rsid w:val="40690DAC"/>
    <w:rsid w:val="407A6407"/>
    <w:rsid w:val="40974706"/>
    <w:rsid w:val="409B1C26"/>
    <w:rsid w:val="40A93B13"/>
    <w:rsid w:val="40DD0C24"/>
    <w:rsid w:val="410E696B"/>
    <w:rsid w:val="412131D2"/>
    <w:rsid w:val="412C57DD"/>
    <w:rsid w:val="415E6EB8"/>
    <w:rsid w:val="41630D72"/>
    <w:rsid w:val="416B0486"/>
    <w:rsid w:val="4170285A"/>
    <w:rsid w:val="417F75C1"/>
    <w:rsid w:val="41B9630E"/>
    <w:rsid w:val="41C95079"/>
    <w:rsid w:val="41CD4668"/>
    <w:rsid w:val="41D43798"/>
    <w:rsid w:val="41EA4FEF"/>
    <w:rsid w:val="41FE5E0C"/>
    <w:rsid w:val="4200449D"/>
    <w:rsid w:val="420D0737"/>
    <w:rsid w:val="420F4E7D"/>
    <w:rsid w:val="42186000"/>
    <w:rsid w:val="422D1AD0"/>
    <w:rsid w:val="42315F0C"/>
    <w:rsid w:val="423254B6"/>
    <w:rsid w:val="423A3BCC"/>
    <w:rsid w:val="424634E7"/>
    <w:rsid w:val="424E57D2"/>
    <w:rsid w:val="427A1B6B"/>
    <w:rsid w:val="42992887"/>
    <w:rsid w:val="42A6360C"/>
    <w:rsid w:val="42B26C49"/>
    <w:rsid w:val="42C45840"/>
    <w:rsid w:val="42DE0FF8"/>
    <w:rsid w:val="42EC6BD0"/>
    <w:rsid w:val="42FA43FB"/>
    <w:rsid w:val="43107BF3"/>
    <w:rsid w:val="43224751"/>
    <w:rsid w:val="43251C2C"/>
    <w:rsid w:val="433A6FE6"/>
    <w:rsid w:val="43480868"/>
    <w:rsid w:val="434D2C5E"/>
    <w:rsid w:val="434E075E"/>
    <w:rsid w:val="4350713C"/>
    <w:rsid w:val="436653E0"/>
    <w:rsid w:val="4385535A"/>
    <w:rsid w:val="43A94DB6"/>
    <w:rsid w:val="43C4431A"/>
    <w:rsid w:val="43F51706"/>
    <w:rsid w:val="43F9776B"/>
    <w:rsid w:val="44095C00"/>
    <w:rsid w:val="440A1578"/>
    <w:rsid w:val="44217936"/>
    <w:rsid w:val="443609BF"/>
    <w:rsid w:val="4449330F"/>
    <w:rsid w:val="444F55DD"/>
    <w:rsid w:val="445C343C"/>
    <w:rsid w:val="447C01AB"/>
    <w:rsid w:val="44963384"/>
    <w:rsid w:val="44A526CD"/>
    <w:rsid w:val="44AB29BB"/>
    <w:rsid w:val="44B951CC"/>
    <w:rsid w:val="44CD14E0"/>
    <w:rsid w:val="44E6396D"/>
    <w:rsid w:val="44F20B0B"/>
    <w:rsid w:val="44FE060C"/>
    <w:rsid w:val="451B2DDC"/>
    <w:rsid w:val="452A02AC"/>
    <w:rsid w:val="452E5F4C"/>
    <w:rsid w:val="454627CD"/>
    <w:rsid w:val="45612018"/>
    <w:rsid w:val="45637F88"/>
    <w:rsid w:val="458946E9"/>
    <w:rsid w:val="459C12C4"/>
    <w:rsid w:val="45A05E09"/>
    <w:rsid w:val="45A47C0E"/>
    <w:rsid w:val="45C17EB9"/>
    <w:rsid w:val="45CA7611"/>
    <w:rsid w:val="45D11925"/>
    <w:rsid w:val="45D70228"/>
    <w:rsid w:val="45DB34EF"/>
    <w:rsid w:val="45DB428B"/>
    <w:rsid w:val="46072613"/>
    <w:rsid w:val="461436D8"/>
    <w:rsid w:val="461E7DD2"/>
    <w:rsid w:val="462A49D9"/>
    <w:rsid w:val="465669B8"/>
    <w:rsid w:val="46577FD6"/>
    <w:rsid w:val="46682974"/>
    <w:rsid w:val="46AE2F7F"/>
    <w:rsid w:val="46D443E5"/>
    <w:rsid w:val="46D955A7"/>
    <w:rsid w:val="4709002D"/>
    <w:rsid w:val="470C5304"/>
    <w:rsid w:val="47133957"/>
    <w:rsid w:val="474E428B"/>
    <w:rsid w:val="47505E33"/>
    <w:rsid w:val="47551370"/>
    <w:rsid w:val="476431C7"/>
    <w:rsid w:val="4771074E"/>
    <w:rsid w:val="477256F5"/>
    <w:rsid w:val="47932037"/>
    <w:rsid w:val="479753DD"/>
    <w:rsid w:val="47A07E0C"/>
    <w:rsid w:val="47AC0302"/>
    <w:rsid w:val="47D2542D"/>
    <w:rsid w:val="47EB63EE"/>
    <w:rsid w:val="47EC1AC1"/>
    <w:rsid w:val="47F6649C"/>
    <w:rsid w:val="486170E8"/>
    <w:rsid w:val="48665FA3"/>
    <w:rsid w:val="486A0F13"/>
    <w:rsid w:val="4870272E"/>
    <w:rsid w:val="4875284E"/>
    <w:rsid w:val="488927B4"/>
    <w:rsid w:val="48940DCB"/>
    <w:rsid w:val="48F6071D"/>
    <w:rsid w:val="48FC21D7"/>
    <w:rsid w:val="49290ADA"/>
    <w:rsid w:val="49463453"/>
    <w:rsid w:val="49466383"/>
    <w:rsid w:val="49635474"/>
    <w:rsid w:val="49876F8B"/>
    <w:rsid w:val="499158A8"/>
    <w:rsid w:val="49DB2628"/>
    <w:rsid w:val="49DC7715"/>
    <w:rsid w:val="4A023139"/>
    <w:rsid w:val="4A152D59"/>
    <w:rsid w:val="4A31649A"/>
    <w:rsid w:val="4A7B576F"/>
    <w:rsid w:val="4A9262A2"/>
    <w:rsid w:val="4A9B1CE3"/>
    <w:rsid w:val="4AA127D5"/>
    <w:rsid w:val="4AAF50D6"/>
    <w:rsid w:val="4AB9731F"/>
    <w:rsid w:val="4ABF2EB5"/>
    <w:rsid w:val="4ACE7214"/>
    <w:rsid w:val="4AEA44DF"/>
    <w:rsid w:val="4AF37370"/>
    <w:rsid w:val="4AF561A9"/>
    <w:rsid w:val="4B090550"/>
    <w:rsid w:val="4B4C2FE6"/>
    <w:rsid w:val="4B863463"/>
    <w:rsid w:val="4BE308E8"/>
    <w:rsid w:val="4BE53E78"/>
    <w:rsid w:val="4BEA27BB"/>
    <w:rsid w:val="4C1F734C"/>
    <w:rsid w:val="4C2261E3"/>
    <w:rsid w:val="4C485734"/>
    <w:rsid w:val="4C4A0649"/>
    <w:rsid w:val="4C5E41B1"/>
    <w:rsid w:val="4C6D5E8C"/>
    <w:rsid w:val="4C742A6C"/>
    <w:rsid w:val="4C7E5ECA"/>
    <w:rsid w:val="4C7E73A7"/>
    <w:rsid w:val="4C80341C"/>
    <w:rsid w:val="4C876AA5"/>
    <w:rsid w:val="4CB93F86"/>
    <w:rsid w:val="4CD60F91"/>
    <w:rsid w:val="4CEF18F1"/>
    <w:rsid w:val="4D057181"/>
    <w:rsid w:val="4D0B0117"/>
    <w:rsid w:val="4D0E00FB"/>
    <w:rsid w:val="4D1121EA"/>
    <w:rsid w:val="4D176606"/>
    <w:rsid w:val="4D1D454E"/>
    <w:rsid w:val="4D5679DC"/>
    <w:rsid w:val="4D637843"/>
    <w:rsid w:val="4D7B0486"/>
    <w:rsid w:val="4D801D93"/>
    <w:rsid w:val="4DAE60EC"/>
    <w:rsid w:val="4DB728CC"/>
    <w:rsid w:val="4DCD32AE"/>
    <w:rsid w:val="4DEC4FB0"/>
    <w:rsid w:val="4DFE6C71"/>
    <w:rsid w:val="4E075D8A"/>
    <w:rsid w:val="4E1E7727"/>
    <w:rsid w:val="4E212E6E"/>
    <w:rsid w:val="4E2455F3"/>
    <w:rsid w:val="4E261AE4"/>
    <w:rsid w:val="4E2F5633"/>
    <w:rsid w:val="4E3D4719"/>
    <w:rsid w:val="4E517962"/>
    <w:rsid w:val="4E544FA0"/>
    <w:rsid w:val="4E977DCF"/>
    <w:rsid w:val="4EBE5FBE"/>
    <w:rsid w:val="4EC00FAD"/>
    <w:rsid w:val="4ED631BA"/>
    <w:rsid w:val="4F112607"/>
    <w:rsid w:val="4F1919C7"/>
    <w:rsid w:val="4F2002A2"/>
    <w:rsid w:val="4F212F50"/>
    <w:rsid w:val="4F256AEC"/>
    <w:rsid w:val="4F465BE8"/>
    <w:rsid w:val="4F54273F"/>
    <w:rsid w:val="4F5D3B9D"/>
    <w:rsid w:val="4F5D5052"/>
    <w:rsid w:val="4F662A68"/>
    <w:rsid w:val="4F9843DC"/>
    <w:rsid w:val="4F9E72C6"/>
    <w:rsid w:val="4F9F18A4"/>
    <w:rsid w:val="4FA15887"/>
    <w:rsid w:val="4FC62A8C"/>
    <w:rsid w:val="4FCA4DED"/>
    <w:rsid w:val="4FD32F1E"/>
    <w:rsid w:val="4FE01775"/>
    <w:rsid w:val="4FE14605"/>
    <w:rsid w:val="4FE20F0D"/>
    <w:rsid w:val="4FE51552"/>
    <w:rsid w:val="4FE76A0C"/>
    <w:rsid w:val="50327E11"/>
    <w:rsid w:val="5040051B"/>
    <w:rsid w:val="50504C4B"/>
    <w:rsid w:val="50520B38"/>
    <w:rsid w:val="5061788A"/>
    <w:rsid w:val="506A5702"/>
    <w:rsid w:val="50755011"/>
    <w:rsid w:val="5076286F"/>
    <w:rsid w:val="508E1579"/>
    <w:rsid w:val="508F52DF"/>
    <w:rsid w:val="509C6E7C"/>
    <w:rsid w:val="50B36B51"/>
    <w:rsid w:val="50C85FB7"/>
    <w:rsid w:val="50D9102B"/>
    <w:rsid w:val="51452242"/>
    <w:rsid w:val="5150297B"/>
    <w:rsid w:val="51525A50"/>
    <w:rsid w:val="515C4A15"/>
    <w:rsid w:val="5162104E"/>
    <w:rsid w:val="51805A47"/>
    <w:rsid w:val="521177F1"/>
    <w:rsid w:val="52176CC6"/>
    <w:rsid w:val="52286DF9"/>
    <w:rsid w:val="52346485"/>
    <w:rsid w:val="52430699"/>
    <w:rsid w:val="52632769"/>
    <w:rsid w:val="529D36D3"/>
    <w:rsid w:val="52C121B0"/>
    <w:rsid w:val="53121F84"/>
    <w:rsid w:val="53265502"/>
    <w:rsid w:val="535D7F0E"/>
    <w:rsid w:val="53812F10"/>
    <w:rsid w:val="539D6009"/>
    <w:rsid w:val="53A039CC"/>
    <w:rsid w:val="53A1505A"/>
    <w:rsid w:val="53A2397B"/>
    <w:rsid w:val="53C22E95"/>
    <w:rsid w:val="54063E08"/>
    <w:rsid w:val="5409795F"/>
    <w:rsid w:val="54216B80"/>
    <w:rsid w:val="543437E8"/>
    <w:rsid w:val="5454111A"/>
    <w:rsid w:val="546C774B"/>
    <w:rsid w:val="54C0429D"/>
    <w:rsid w:val="54C85D29"/>
    <w:rsid w:val="54D74270"/>
    <w:rsid w:val="54ED12A7"/>
    <w:rsid w:val="54F73313"/>
    <w:rsid w:val="54F80955"/>
    <w:rsid w:val="54FC6CA3"/>
    <w:rsid w:val="553D6668"/>
    <w:rsid w:val="554C6B2C"/>
    <w:rsid w:val="555170A7"/>
    <w:rsid w:val="5587536D"/>
    <w:rsid w:val="559022F9"/>
    <w:rsid w:val="559B174B"/>
    <w:rsid w:val="55B60A05"/>
    <w:rsid w:val="55CE0CF4"/>
    <w:rsid w:val="55D0296F"/>
    <w:rsid w:val="55DC2CA8"/>
    <w:rsid w:val="55F3226C"/>
    <w:rsid w:val="56024191"/>
    <w:rsid w:val="56045065"/>
    <w:rsid w:val="56463D54"/>
    <w:rsid w:val="564D6A2D"/>
    <w:rsid w:val="56653CA5"/>
    <w:rsid w:val="5668404C"/>
    <w:rsid w:val="56694C24"/>
    <w:rsid w:val="5683779E"/>
    <w:rsid w:val="568E098F"/>
    <w:rsid w:val="56B22A9C"/>
    <w:rsid w:val="56B40902"/>
    <w:rsid w:val="56C45310"/>
    <w:rsid w:val="56CB2EF7"/>
    <w:rsid w:val="56DC1495"/>
    <w:rsid w:val="56ED73FE"/>
    <w:rsid w:val="56F02724"/>
    <w:rsid w:val="56FD29F0"/>
    <w:rsid w:val="573B211D"/>
    <w:rsid w:val="576A336A"/>
    <w:rsid w:val="578238E6"/>
    <w:rsid w:val="5798613F"/>
    <w:rsid w:val="57A067FC"/>
    <w:rsid w:val="57B54FC2"/>
    <w:rsid w:val="57B72A76"/>
    <w:rsid w:val="57C3426C"/>
    <w:rsid w:val="57CA7EFC"/>
    <w:rsid w:val="57CE1F93"/>
    <w:rsid w:val="57F87FBC"/>
    <w:rsid w:val="57FD0923"/>
    <w:rsid w:val="5815629C"/>
    <w:rsid w:val="58457737"/>
    <w:rsid w:val="585A28EC"/>
    <w:rsid w:val="586F760E"/>
    <w:rsid w:val="58717A53"/>
    <w:rsid w:val="58802A68"/>
    <w:rsid w:val="588743D1"/>
    <w:rsid w:val="5887701A"/>
    <w:rsid w:val="589E611F"/>
    <w:rsid w:val="58B01C13"/>
    <w:rsid w:val="58FE18B9"/>
    <w:rsid w:val="58FE3A76"/>
    <w:rsid w:val="5906541C"/>
    <w:rsid w:val="5906675A"/>
    <w:rsid w:val="59086185"/>
    <w:rsid w:val="590B59C6"/>
    <w:rsid w:val="590B6E54"/>
    <w:rsid w:val="59384F4B"/>
    <w:rsid w:val="59744966"/>
    <w:rsid w:val="597B38A6"/>
    <w:rsid w:val="597D4C6F"/>
    <w:rsid w:val="598D4786"/>
    <w:rsid w:val="598E195B"/>
    <w:rsid w:val="59AC7302"/>
    <w:rsid w:val="59BC1C01"/>
    <w:rsid w:val="59C0439F"/>
    <w:rsid w:val="59D625D1"/>
    <w:rsid w:val="59D70A8B"/>
    <w:rsid w:val="59DF170B"/>
    <w:rsid w:val="59F05BCF"/>
    <w:rsid w:val="5A0842A8"/>
    <w:rsid w:val="5A0A44EB"/>
    <w:rsid w:val="5A335338"/>
    <w:rsid w:val="5A3C41B1"/>
    <w:rsid w:val="5A81253D"/>
    <w:rsid w:val="5A817315"/>
    <w:rsid w:val="5AAF33D2"/>
    <w:rsid w:val="5ABE2233"/>
    <w:rsid w:val="5AD87B40"/>
    <w:rsid w:val="5ADF4F34"/>
    <w:rsid w:val="5B5C6B06"/>
    <w:rsid w:val="5BA445A3"/>
    <w:rsid w:val="5BA71546"/>
    <w:rsid w:val="5BB3153C"/>
    <w:rsid w:val="5BB94083"/>
    <w:rsid w:val="5BD67683"/>
    <w:rsid w:val="5BDA2D0C"/>
    <w:rsid w:val="5BDF5D95"/>
    <w:rsid w:val="5BE14915"/>
    <w:rsid w:val="5BE34B31"/>
    <w:rsid w:val="5BFE7528"/>
    <w:rsid w:val="5C03373F"/>
    <w:rsid w:val="5C094793"/>
    <w:rsid w:val="5C446733"/>
    <w:rsid w:val="5C896431"/>
    <w:rsid w:val="5CA938AA"/>
    <w:rsid w:val="5CC52489"/>
    <w:rsid w:val="5CCA538A"/>
    <w:rsid w:val="5CEF3485"/>
    <w:rsid w:val="5CFC0A4D"/>
    <w:rsid w:val="5D001A02"/>
    <w:rsid w:val="5D03407C"/>
    <w:rsid w:val="5D0607CD"/>
    <w:rsid w:val="5D10544C"/>
    <w:rsid w:val="5D7719D5"/>
    <w:rsid w:val="5DAC28A8"/>
    <w:rsid w:val="5DB0794B"/>
    <w:rsid w:val="5DB95313"/>
    <w:rsid w:val="5DE93EE4"/>
    <w:rsid w:val="5E1200E1"/>
    <w:rsid w:val="5E242BA8"/>
    <w:rsid w:val="5E2467F1"/>
    <w:rsid w:val="5E341674"/>
    <w:rsid w:val="5E47584B"/>
    <w:rsid w:val="5E484417"/>
    <w:rsid w:val="5E657B51"/>
    <w:rsid w:val="5E710D2B"/>
    <w:rsid w:val="5E87757E"/>
    <w:rsid w:val="5EFA28BD"/>
    <w:rsid w:val="5F1A2B43"/>
    <w:rsid w:val="5F220175"/>
    <w:rsid w:val="5F282B4F"/>
    <w:rsid w:val="5F3D2971"/>
    <w:rsid w:val="5F6C6C9F"/>
    <w:rsid w:val="5F702588"/>
    <w:rsid w:val="5F7B7E0C"/>
    <w:rsid w:val="5F7E34EF"/>
    <w:rsid w:val="5FA32F55"/>
    <w:rsid w:val="5FB837BB"/>
    <w:rsid w:val="5FC45500"/>
    <w:rsid w:val="5FC81142"/>
    <w:rsid w:val="5FD01870"/>
    <w:rsid w:val="5FF34081"/>
    <w:rsid w:val="5FFD3E71"/>
    <w:rsid w:val="6029160A"/>
    <w:rsid w:val="606A75CF"/>
    <w:rsid w:val="606F56DB"/>
    <w:rsid w:val="608F0EC5"/>
    <w:rsid w:val="60CC405A"/>
    <w:rsid w:val="60D5115A"/>
    <w:rsid w:val="61536776"/>
    <w:rsid w:val="61845201"/>
    <w:rsid w:val="61B52079"/>
    <w:rsid w:val="61C33D84"/>
    <w:rsid w:val="61E215D8"/>
    <w:rsid w:val="61E96AA9"/>
    <w:rsid w:val="621B3775"/>
    <w:rsid w:val="622C08F7"/>
    <w:rsid w:val="62364782"/>
    <w:rsid w:val="62481B92"/>
    <w:rsid w:val="62551119"/>
    <w:rsid w:val="626B0536"/>
    <w:rsid w:val="62775FD3"/>
    <w:rsid w:val="62815FF2"/>
    <w:rsid w:val="62952584"/>
    <w:rsid w:val="62A019CE"/>
    <w:rsid w:val="62D638E0"/>
    <w:rsid w:val="62F66232"/>
    <w:rsid w:val="62F73AFD"/>
    <w:rsid w:val="63277F8F"/>
    <w:rsid w:val="635C691F"/>
    <w:rsid w:val="6370230C"/>
    <w:rsid w:val="63835961"/>
    <w:rsid w:val="639037F0"/>
    <w:rsid w:val="6394356A"/>
    <w:rsid w:val="63C40492"/>
    <w:rsid w:val="63C61B2C"/>
    <w:rsid w:val="63D40BE9"/>
    <w:rsid w:val="63D64500"/>
    <w:rsid w:val="63E505D3"/>
    <w:rsid w:val="640B189C"/>
    <w:rsid w:val="640D6BEF"/>
    <w:rsid w:val="64102431"/>
    <w:rsid w:val="641A095A"/>
    <w:rsid w:val="642C31C3"/>
    <w:rsid w:val="64A006D5"/>
    <w:rsid w:val="64A5243A"/>
    <w:rsid w:val="64BB7543"/>
    <w:rsid w:val="64C220D6"/>
    <w:rsid w:val="64C72277"/>
    <w:rsid w:val="64EC2424"/>
    <w:rsid w:val="64F531DE"/>
    <w:rsid w:val="64FA5320"/>
    <w:rsid w:val="65070FF9"/>
    <w:rsid w:val="65373578"/>
    <w:rsid w:val="654154EC"/>
    <w:rsid w:val="65532A0D"/>
    <w:rsid w:val="655B398A"/>
    <w:rsid w:val="65723B88"/>
    <w:rsid w:val="65787C65"/>
    <w:rsid w:val="65A12B9B"/>
    <w:rsid w:val="65D41959"/>
    <w:rsid w:val="65DE50E4"/>
    <w:rsid w:val="6612703C"/>
    <w:rsid w:val="661E3335"/>
    <w:rsid w:val="66311910"/>
    <w:rsid w:val="663F41BC"/>
    <w:rsid w:val="665E7A90"/>
    <w:rsid w:val="66883FCE"/>
    <w:rsid w:val="668F7D8F"/>
    <w:rsid w:val="66911D59"/>
    <w:rsid w:val="66D335AF"/>
    <w:rsid w:val="66DE1367"/>
    <w:rsid w:val="66DF04E7"/>
    <w:rsid w:val="66F92A0F"/>
    <w:rsid w:val="67034DAC"/>
    <w:rsid w:val="671C4E9E"/>
    <w:rsid w:val="671F124A"/>
    <w:rsid w:val="671F6E1E"/>
    <w:rsid w:val="673567C2"/>
    <w:rsid w:val="67552E8A"/>
    <w:rsid w:val="67794172"/>
    <w:rsid w:val="677A33C6"/>
    <w:rsid w:val="67822CA9"/>
    <w:rsid w:val="67836A3F"/>
    <w:rsid w:val="67876CB8"/>
    <w:rsid w:val="678B172C"/>
    <w:rsid w:val="67A30E00"/>
    <w:rsid w:val="67BA5313"/>
    <w:rsid w:val="67BD33B5"/>
    <w:rsid w:val="67D10CD2"/>
    <w:rsid w:val="67D2738D"/>
    <w:rsid w:val="67F41D94"/>
    <w:rsid w:val="67F86173"/>
    <w:rsid w:val="681808EE"/>
    <w:rsid w:val="681F6961"/>
    <w:rsid w:val="682700AE"/>
    <w:rsid w:val="68520F69"/>
    <w:rsid w:val="68610A2F"/>
    <w:rsid w:val="6861126C"/>
    <w:rsid w:val="68617509"/>
    <w:rsid w:val="686539DB"/>
    <w:rsid w:val="68783DAD"/>
    <w:rsid w:val="68805514"/>
    <w:rsid w:val="68826812"/>
    <w:rsid w:val="688D02FE"/>
    <w:rsid w:val="68945A87"/>
    <w:rsid w:val="689F6794"/>
    <w:rsid w:val="68BB0C13"/>
    <w:rsid w:val="68C93C7E"/>
    <w:rsid w:val="68E07D88"/>
    <w:rsid w:val="68EB6B87"/>
    <w:rsid w:val="68F46B79"/>
    <w:rsid w:val="68FF3914"/>
    <w:rsid w:val="690968CC"/>
    <w:rsid w:val="692A6694"/>
    <w:rsid w:val="69316E2F"/>
    <w:rsid w:val="69345529"/>
    <w:rsid w:val="694E2071"/>
    <w:rsid w:val="695D23C7"/>
    <w:rsid w:val="69717C20"/>
    <w:rsid w:val="6975127D"/>
    <w:rsid w:val="69766163"/>
    <w:rsid w:val="697A3B33"/>
    <w:rsid w:val="697E30E9"/>
    <w:rsid w:val="69C93191"/>
    <w:rsid w:val="69D44760"/>
    <w:rsid w:val="69FE1F18"/>
    <w:rsid w:val="6A125DAD"/>
    <w:rsid w:val="6A174059"/>
    <w:rsid w:val="6A1B2846"/>
    <w:rsid w:val="6A243633"/>
    <w:rsid w:val="6A2C3BDE"/>
    <w:rsid w:val="6A3053E5"/>
    <w:rsid w:val="6A5169BD"/>
    <w:rsid w:val="6A520EC7"/>
    <w:rsid w:val="6A922592"/>
    <w:rsid w:val="6A9C71DE"/>
    <w:rsid w:val="6AD00F13"/>
    <w:rsid w:val="6AD025F3"/>
    <w:rsid w:val="6AF71854"/>
    <w:rsid w:val="6AF87E20"/>
    <w:rsid w:val="6B0D1155"/>
    <w:rsid w:val="6B1815DA"/>
    <w:rsid w:val="6B2F1B41"/>
    <w:rsid w:val="6B322639"/>
    <w:rsid w:val="6B454EC0"/>
    <w:rsid w:val="6B713F07"/>
    <w:rsid w:val="6BBC694F"/>
    <w:rsid w:val="6BD33654"/>
    <w:rsid w:val="6BFD2A3E"/>
    <w:rsid w:val="6BFF60BB"/>
    <w:rsid w:val="6C1C4705"/>
    <w:rsid w:val="6C225202"/>
    <w:rsid w:val="6C253B67"/>
    <w:rsid w:val="6C563AA9"/>
    <w:rsid w:val="6C636C38"/>
    <w:rsid w:val="6C6567FF"/>
    <w:rsid w:val="6C727F37"/>
    <w:rsid w:val="6C837815"/>
    <w:rsid w:val="6C90660F"/>
    <w:rsid w:val="6C936F55"/>
    <w:rsid w:val="6CB3284F"/>
    <w:rsid w:val="6CB5675F"/>
    <w:rsid w:val="6CC71F8A"/>
    <w:rsid w:val="6CFD5EF7"/>
    <w:rsid w:val="6D050DAB"/>
    <w:rsid w:val="6D0A5EC8"/>
    <w:rsid w:val="6D2F0755"/>
    <w:rsid w:val="6D445DBD"/>
    <w:rsid w:val="6DA02882"/>
    <w:rsid w:val="6DA57126"/>
    <w:rsid w:val="6DAD4F9F"/>
    <w:rsid w:val="6DB34098"/>
    <w:rsid w:val="6DB545B6"/>
    <w:rsid w:val="6DBB3A8B"/>
    <w:rsid w:val="6DCB2FF9"/>
    <w:rsid w:val="6DD13582"/>
    <w:rsid w:val="6DE02FB4"/>
    <w:rsid w:val="6E0F7A08"/>
    <w:rsid w:val="6E1119EC"/>
    <w:rsid w:val="6E167FFA"/>
    <w:rsid w:val="6E246E64"/>
    <w:rsid w:val="6E302FB6"/>
    <w:rsid w:val="6E514CED"/>
    <w:rsid w:val="6E524DE6"/>
    <w:rsid w:val="6E601543"/>
    <w:rsid w:val="6E7756AF"/>
    <w:rsid w:val="6E8F15D9"/>
    <w:rsid w:val="6E9879FD"/>
    <w:rsid w:val="6EB563D5"/>
    <w:rsid w:val="6EB75540"/>
    <w:rsid w:val="6ED92677"/>
    <w:rsid w:val="6EDF2E3C"/>
    <w:rsid w:val="6EF40B1F"/>
    <w:rsid w:val="6EF8049C"/>
    <w:rsid w:val="6EF966EE"/>
    <w:rsid w:val="6F225983"/>
    <w:rsid w:val="6F27572A"/>
    <w:rsid w:val="6F330DBE"/>
    <w:rsid w:val="6F495729"/>
    <w:rsid w:val="6F544489"/>
    <w:rsid w:val="6F662D58"/>
    <w:rsid w:val="6F7246F2"/>
    <w:rsid w:val="6F8C6AF9"/>
    <w:rsid w:val="6F911AF7"/>
    <w:rsid w:val="6FBF7083"/>
    <w:rsid w:val="6FD406F8"/>
    <w:rsid w:val="6FD500E5"/>
    <w:rsid w:val="6FDB41AE"/>
    <w:rsid w:val="6FE5623F"/>
    <w:rsid w:val="6FF77C9F"/>
    <w:rsid w:val="6FFC5590"/>
    <w:rsid w:val="700409D6"/>
    <w:rsid w:val="702F1F81"/>
    <w:rsid w:val="706D1DD0"/>
    <w:rsid w:val="70856B87"/>
    <w:rsid w:val="70921CB2"/>
    <w:rsid w:val="70A4370B"/>
    <w:rsid w:val="70A95EF1"/>
    <w:rsid w:val="70CA0C35"/>
    <w:rsid w:val="70CA15DA"/>
    <w:rsid w:val="70CA399E"/>
    <w:rsid w:val="70D171F6"/>
    <w:rsid w:val="70D527EE"/>
    <w:rsid w:val="70D85635"/>
    <w:rsid w:val="70E84C6C"/>
    <w:rsid w:val="71023A92"/>
    <w:rsid w:val="71105F71"/>
    <w:rsid w:val="71464061"/>
    <w:rsid w:val="71524573"/>
    <w:rsid w:val="71526251"/>
    <w:rsid w:val="715B5300"/>
    <w:rsid w:val="716821DD"/>
    <w:rsid w:val="71835905"/>
    <w:rsid w:val="71924A97"/>
    <w:rsid w:val="71AD79BD"/>
    <w:rsid w:val="71D27F8A"/>
    <w:rsid w:val="71FD4C59"/>
    <w:rsid w:val="7225787F"/>
    <w:rsid w:val="72542E24"/>
    <w:rsid w:val="72553024"/>
    <w:rsid w:val="728A03D1"/>
    <w:rsid w:val="72916C3D"/>
    <w:rsid w:val="729A0BC2"/>
    <w:rsid w:val="729D3223"/>
    <w:rsid w:val="72A83D47"/>
    <w:rsid w:val="72C556DA"/>
    <w:rsid w:val="72DF0BD6"/>
    <w:rsid w:val="72E6343C"/>
    <w:rsid w:val="73122968"/>
    <w:rsid w:val="73132CA6"/>
    <w:rsid w:val="731409B7"/>
    <w:rsid w:val="731C0BFD"/>
    <w:rsid w:val="731F5D5E"/>
    <w:rsid w:val="732A507D"/>
    <w:rsid w:val="734B13B1"/>
    <w:rsid w:val="7379317B"/>
    <w:rsid w:val="737D2072"/>
    <w:rsid w:val="73A84C8F"/>
    <w:rsid w:val="73BC23E0"/>
    <w:rsid w:val="73C51AD5"/>
    <w:rsid w:val="73CF36B8"/>
    <w:rsid w:val="73D8583F"/>
    <w:rsid w:val="73E3174F"/>
    <w:rsid w:val="73F848A2"/>
    <w:rsid w:val="74041B77"/>
    <w:rsid w:val="741E793C"/>
    <w:rsid w:val="742B0B72"/>
    <w:rsid w:val="7432553B"/>
    <w:rsid w:val="745A6366"/>
    <w:rsid w:val="745E3944"/>
    <w:rsid w:val="74626FF6"/>
    <w:rsid w:val="747D2CAB"/>
    <w:rsid w:val="749224AA"/>
    <w:rsid w:val="74B75A24"/>
    <w:rsid w:val="74D2721F"/>
    <w:rsid w:val="74FC0135"/>
    <w:rsid w:val="75072DAF"/>
    <w:rsid w:val="751D7980"/>
    <w:rsid w:val="75330047"/>
    <w:rsid w:val="753A4DDC"/>
    <w:rsid w:val="753D2FAA"/>
    <w:rsid w:val="75692310"/>
    <w:rsid w:val="75742F72"/>
    <w:rsid w:val="75780C69"/>
    <w:rsid w:val="758F6D29"/>
    <w:rsid w:val="7593530A"/>
    <w:rsid w:val="75BB4963"/>
    <w:rsid w:val="75DA15F6"/>
    <w:rsid w:val="75DB75F5"/>
    <w:rsid w:val="75DF79FD"/>
    <w:rsid w:val="76337BD5"/>
    <w:rsid w:val="7635099D"/>
    <w:rsid w:val="76564FFB"/>
    <w:rsid w:val="76D4390B"/>
    <w:rsid w:val="76EE28B0"/>
    <w:rsid w:val="76FD54E7"/>
    <w:rsid w:val="771F2AC6"/>
    <w:rsid w:val="77762421"/>
    <w:rsid w:val="777F1BF9"/>
    <w:rsid w:val="7782501D"/>
    <w:rsid w:val="77B31489"/>
    <w:rsid w:val="77B56B1F"/>
    <w:rsid w:val="77CB0E43"/>
    <w:rsid w:val="77D8265E"/>
    <w:rsid w:val="77DF2D80"/>
    <w:rsid w:val="77F81E76"/>
    <w:rsid w:val="77FB186D"/>
    <w:rsid w:val="780F09F4"/>
    <w:rsid w:val="782F4F2E"/>
    <w:rsid w:val="78344550"/>
    <w:rsid w:val="78540D31"/>
    <w:rsid w:val="78611170"/>
    <w:rsid w:val="788C05D2"/>
    <w:rsid w:val="788D6908"/>
    <w:rsid w:val="78A74113"/>
    <w:rsid w:val="78A90480"/>
    <w:rsid w:val="78AD22F7"/>
    <w:rsid w:val="78C74E6F"/>
    <w:rsid w:val="78D1433E"/>
    <w:rsid w:val="78F16688"/>
    <w:rsid w:val="791E16BD"/>
    <w:rsid w:val="792E51E6"/>
    <w:rsid w:val="79517BC0"/>
    <w:rsid w:val="79633F9D"/>
    <w:rsid w:val="798824CB"/>
    <w:rsid w:val="799D1CF3"/>
    <w:rsid w:val="79AB2CDA"/>
    <w:rsid w:val="79C8388C"/>
    <w:rsid w:val="79FF2925"/>
    <w:rsid w:val="7A364017"/>
    <w:rsid w:val="7A3A0F33"/>
    <w:rsid w:val="7A3D2EE1"/>
    <w:rsid w:val="7A462F87"/>
    <w:rsid w:val="7A6E3C83"/>
    <w:rsid w:val="7A7E0627"/>
    <w:rsid w:val="7A8265E1"/>
    <w:rsid w:val="7AAF133E"/>
    <w:rsid w:val="7AC34054"/>
    <w:rsid w:val="7AC94544"/>
    <w:rsid w:val="7AD7328A"/>
    <w:rsid w:val="7ADB5006"/>
    <w:rsid w:val="7AED5701"/>
    <w:rsid w:val="7B022DE7"/>
    <w:rsid w:val="7B0F2414"/>
    <w:rsid w:val="7B164B0F"/>
    <w:rsid w:val="7B1B5C3E"/>
    <w:rsid w:val="7B3E6D30"/>
    <w:rsid w:val="7B4D26DF"/>
    <w:rsid w:val="7B686D42"/>
    <w:rsid w:val="7B841746"/>
    <w:rsid w:val="7BB06386"/>
    <w:rsid w:val="7BCD22A9"/>
    <w:rsid w:val="7BD92324"/>
    <w:rsid w:val="7BDA30B7"/>
    <w:rsid w:val="7BF700B4"/>
    <w:rsid w:val="7C1120EB"/>
    <w:rsid w:val="7C174657"/>
    <w:rsid w:val="7C617846"/>
    <w:rsid w:val="7C6C5AC7"/>
    <w:rsid w:val="7C753516"/>
    <w:rsid w:val="7C8A3B3D"/>
    <w:rsid w:val="7C8F6DA2"/>
    <w:rsid w:val="7C924BCA"/>
    <w:rsid w:val="7C9A62E3"/>
    <w:rsid w:val="7CC6544B"/>
    <w:rsid w:val="7CCD740C"/>
    <w:rsid w:val="7CF62F5E"/>
    <w:rsid w:val="7D0239FF"/>
    <w:rsid w:val="7D1539D3"/>
    <w:rsid w:val="7D262F2C"/>
    <w:rsid w:val="7D34497C"/>
    <w:rsid w:val="7D476F6A"/>
    <w:rsid w:val="7D5E40CD"/>
    <w:rsid w:val="7DA05D62"/>
    <w:rsid w:val="7DA93648"/>
    <w:rsid w:val="7DCD56F2"/>
    <w:rsid w:val="7DE502D5"/>
    <w:rsid w:val="7DF95A79"/>
    <w:rsid w:val="7E1058EA"/>
    <w:rsid w:val="7E1279AF"/>
    <w:rsid w:val="7E154BC6"/>
    <w:rsid w:val="7E1E5626"/>
    <w:rsid w:val="7E282B4B"/>
    <w:rsid w:val="7E3468E7"/>
    <w:rsid w:val="7E3E195D"/>
    <w:rsid w:val="7E510147"/>
    <w:rsid w:val="7EAE7793"/>
    <w:rsid w:val="7EAE7D25"/>
    <w:rsid w:val="7EB45851"/>
    <w:rsid w:val="7EDD10C2"/>
    <w:rsid w:val="7EEC6DBA"/>
    <w:rsid w:val="7EF576D4"/>
    <w:rsid w:val="7F001CE7"/>
    <w:rsid w:val="7F0507B9"/>
    <w:rsid w:val="7F065A2B"/>
    <w:rsid w:val="7F144978"/>
    <w:rsid w:val="7F2F0C43"/>
    <w:rsid w:val="7F521E20"/>
    <w:rsid w:val="7F5B7168"/>
    <w:rsid w:val="7F7443D3"/>
    <w:rsid w:val="7F763BC9"/>
    <w:rsid w:val="7F83261E"/>
    <w:rsid w:val="7F8B4C7C"/>
    <w:rsid w:val="7FA41E4F"/>
    <w:rsid w:val="7FAC5FBB"/>
    <w:rsid w:val="7FE05CF0"/>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3"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character" w:default="1" w:styleId="30">
    <w:name w:val="Default Paragraph Font"/>
    <w:semiHidden/>
    <w:qFormat/>
    <w:uiPriority w:val="0"/>
  </w:style>
  <w:style w:type="table" w:default="1" w:styleId="28">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te Heading"/>
    <w:basedOn w:val="1"/>
    <w:next w:val="1"/>
    <w:autoRedefine/>
    <w:qFormat/>
    <w:uiPriority w:val="0"/>
    <w:pPr>
      <w:jc w:val="center"/>
    </w:pPr>
    <w:rPr>
      <w:kern w:val="0"/>
      <w:sz w:val="20"/>
    </w:rPr>
  </w:style>
  <w:style w:type="paragraph" w:styleId="5">
    <w:name w:val="Normal Indent"/>
    <w:basedOn w:val="1"/>
    <w:next w:val="1"/>
    <w:autoRedefine/>
    <w:qFormat/>
    <w:uiPriority w:val="0"/>
    <w:pPr>
      <w:ind w:firstLine="420"/>
    </w:pPr>
  </w:style>
  <w:style w:type="paragraph" w:styleId="6">
    <w:name w:val="annotation text"/>
    <w:basedOn w:val="1"/>
    <w:link w:val="41"/>
    <w:semiHidden/>
    <w:qFormat/>
    <w:uiPriority w:val="0"/>
    <w:pPr>
      <w:jc w:val="left"/>
    </w:pPr>
    <w:rPr>
      <w:kern w:val="0"/>
      <w:sz w:val="24"/>
      <w:szCs w:val="20"/>
    </w:rPr>
  </w:style>
  <w:style w:type="paragraph" w:styleId="7">
    <w:name w:val="Body Text"/>
    <w:basedOn w:val="1"/>
    <w:next w:val="1"/>
    <w:link w:val="42"/>
    <w:qFormat/>
    <w:uiPriority w:val="0"/>
    <w:pPr>
      <w:widowControl/>
      <w:snapToGrid w:val="0"/>
      <w:spacing w:before="60" w:after="160" w:line="259" w:lineRule="auto"/>
      <w:ind w:right="113"/>
    </w:pPr>
    <w:rPr>
      <w:kern w:val="0"/>
      <w:sz w:val="18"/>
      <w:szCs w:val="20"/>
    </w:rPr>
  </w:style>
  <w:style w:type="paragraph" w:styleId="8">
    <w:name w:val="Body Text Indent"/>
    <w:basedOn w:val="1"/>
    <w:next w:val="9"/>
    <w:link w:val="43"/>
    <w:autoRedefine/>
    <w:qFormat/>
    <w:uiPriority w:val="0"/>
    <w:pPr>
      <w:spacing w:after="120"/>
      <w:ind w:left="420" w:leftChars="200"/>
    </w:pPr>
    <w:rPr>
      <w:kern w:val="0"/>
      <w:sz w:val="24"/>
      <w:szCs w:val="20"/>
    </w:rPr>
  </w:style>
  <w:style w:type="paragraph" w:styleId="9">
    <w:name w:val="header"/>
    <w:basedOn w:val="1"/>
    <w:next w:val="10"/>
    <w:link w:val="47"/>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0">
    <w:name w:val="样式5"/>
    <w:basedOn w:val="11"/>
    <w:qFormat/>
    <w:uiPriority w:val="0"/>
    <w:pPr>
      <w:snapToGrid w:val="0"/>
      <w:spacing w:line="360" w:lineRule="auto"/>
      <w:ind w:firstLine="510"/>
    </w:pPr>
    <w:rPr>
      <w:sz w:val="24"/>
    </w:rPr>
  </w:style>
  <w:style w:type="paragraph" w:customStyle="1" w:styleId="11">
    <w:name w:val="样式3"/>
    <w:basedOn w:val="12"/>
    <w:next w:val="7"/>
    <w:qFormat/>
    <w:uiPriority w:val="0"/>
    <w:pPr>
      <w:snapToGrid w:val="0"/>
      <w:ind w:firstLine="539"/>
      <w:jc w:val="center"/>
    </w:pPr>
    <w:rPr>
      <w:rFonts w:ascii="黑体" w:hAnsi="宋体" w:eastAsia="黑体"/>
      <w:color w:val="000000"/>
    </w:rPr>
  </w:style>
  <w:style w:type="paragraph" w:styleId="12">
    <w:name w:val="toc 3"/>
    <w:basedOn w:val="1"/>
    <w:next w:val="1"/>
    <w:qFormat/>
    <w:uiPriority w:val="0"/>
    <w:pPr>
      <w:ind w:left="840" w:leftChars="400"/>
    </w:pPr>
  </w:style>
  <w:style w:type="paragraph" w:styleId="13">
    <w:name w:val="Block Text"/>
    <w:basedOn w:val="1"/>
    <w:autoRedefine/>
    <w:qFormat/>
    <w:uiPriority w:val="0"/>
    <w:pPr>
      <w:adjustRightInd w:val="0"/>
      <w:snapToGrid w:val="0"/>
      <w:spacing w:line="300" w:lineRule="atLeast"/>
      <w:ind w:left="420" w:leftChars="200" w:right="-336" w:rightChars="-160"/>
    </w:pPr>
    <w:rPr>
      <w:szCs w:val="24"/>
    </w:rPr>
  </w:style>
  <w:style w:type="paragraph" w:styleId="14">
    <w:name w:val="List Bullet 5"/>
    <w:basedOn w:val="1"/>
    <w:autoRedefine/>
    <w:qFormat/>
    <w:uiPriority w:val="0"/>
    <w:pPr>
      <w:numPr>
        <w:ilvl w:val="0"/>
        <w:numId w:val="1"/>
      </w:numPr>
    </w:pPr>
  </w:style>
  <w:style w:type="paragraph" w:styleId="15">
    <w:name w:val="toc 8"/>
    <w:basedOn w:val="1"/>
    <w:next w:val="1"/>
    <w:autoRedefine/>
    <w:qFormat/>
    <w:uiPriority w:val="0"/>
    <w:pPr>
      <w:ind w:left="1470"/>
      <w:jc w:val="left"/>
    </w:pPr>
    <w:rPr>
      <w:sz w:val="18"/>
      <w:szCs w:val="18"/>
    </w:rPr>
  </w:style>
  <w:style w:type="paragraph" w:styleId="16">
    <w:name w:val="Date"/>
    <w:basedOn w:val="1"/>
    <w:next w:val="1"/>
    <w:link w:val="44"/>
    <w:autoRedefine/>
    <w:qFormat/>
    <w:uiPriority w:val="0"/>
    <w:pPr>
      <w:ind w:left="100" w:leftChars="2500"/>
    </w:pPr>
    <w:rPr>
      <w:kern w:val="0"/>
      <w:sz w:val="24"/>
      <w:szCs w:val="20"/>
    </w:rPr>
  </w:style>
  <w:style w:type="paragraph" w:styleId="17">
    <w:name w:val="Body Text Indent 2"/>
    <w:basedOn w:val="1"/>
    <w:next w:val="1"/>
    <w:autoRedefine/>
    <w:qFormat/>
    <w:uiPriority w:val="0"/>
    <w:pPr>
      <w:spacing w:after="120" w:afterLines="0" w:line="480" w:lineRule="auto"/>
      <w:ind w:left="420" w:leftChars="200"/>
    </w:pPr>
    <w:rPr>
      <w:rFonts w:eastAsia="仿宋_GB2312"/>
      <w:sz w:val="28"/>
    </w:rPr>
  </w:style>
  <w:style w:type="paragraph" w:styleId="18">
    <w:name w:val="endnote text"/>
    <w:basedOn w:val="1"/>
    <w:unhideWhenUsed/>
    <w:qFormat/>
    <w:uiPriority w:val="0"/>
    <w:pPr>
      <w:snapToGrid w:val="0"/>
      <w:jc w:val="left"/>
    </w:pPr>
    <w:rPr>
      <w:rFonts w:ascii="Calibri" w:hAnsi="Calibri"/>
      <w:sz w:val="24"/>
      <w:szCs w:val="22"/>
    </w:rPr>
  </w:style>
  <w:style w:type="paragraph" w:styleId="19">
    <w:name w:val="Balloon Text"/>
    <w:basedOn w:val="1"/>
    <w:link w:val="45"/>
    <w:autoRedefine/>
    <w:semiHidden/>
    <w:qFormat/>
    <w:uiPriority w:val="0"/>
    <w:rPr>
      <w:kern w:val="0"/>
      <w:sz w:val="18"/>
      <w:szCs w:val="20"/>
    </w:rPr>
  </w:style>
  <w:style w:type="paragraph" w:styleId="20">
    <w:name w:val="footer"/>
    <w:basedOn w:val="1"/>
    <w:link w:val="46"/>
    <w:autoRedefine/>
    <w:qFormat/>
    <w:uiPriority w:val="99"/>
    <w:pPr>
      <w:tabs>
        <w:tab w:val="center" w:pos="4153"/>
        <w:tab w:val="right" w:pos="8306"/>
      </w:tabs>
      <w:snapToGrid w:val="0"/>
      <w:jc w:val="left"/>
    </w:pPr>
    <w:rPr>
      <w:kern w:val="0"/>
      <w:sz w:val="18"/>
      <w:szCs w:val="20"/>
    </w:rPr>
  </w:style>
  <w:style w:type="paragraph" w:styleId="21">
    <w:name w:val="table of figures"/>
    <w:basedOn w:val="1"/>
    <w:next w:val="1"/>
    <w:autoRedefine/>
    <w:unhideWhenUsed/>
    <w:qFormat/>
    <w:uiPriority w:val="99"/>
    <w:pPr>
      <w:ind w:leftChars="200" w:hanging="200" w:hangingChars="200"/>
    </w:pPr>
  </w:style>
  <w:style w:type="paragraph" w:styleId="22">
    <w:name w:val="toc 2"/>
    <w:basedOn w:val="1"/>
    <w:next w:val="1"/>
    <w:autoRedefine/>
    <w:qFormat/>
    <w:uiPriority w:val="0"/>
    <w:pPr>
      <w:ind w:left="210"/>
      <w:jc w:val="left"/>
    </w:pPr>
    <w:rPr>
      <w:rFonts w:ascii="Times New Roman" w:hAnsi="Times New Roman"/>
      <w:smallCaps/>
      <w:sz w:val="20"/>
      <w:szCs w:val="20"/>
    </w:rPr>
  </w:style>
  <w:style w:type="paragraph" w:styleId="23">
    <w:name w:val="Normal (Web)"/>
    <w:basedOn w:val="1"/>
    <w:link w:val="48"/>
    <w:autoRedefine/>
    <w:qFormat/>
    <w:uiPriority w:val="0"/>
    <w:pPr>
      <w:widowControl/>
      <w:spacing w:before="100" w:beforeAutospacing="1" w:after="100" w:afterAutospacing="1"/>
      <w:jc w:val="left"/>
    </w:pPr>
    <w:rPr>
      <w:rFonts w:ascii="宋体" w:hAnsi="宋体"/>
      <w:kern w:val="0"/>
      <w:sz w:val="24"/>
      <w:szCs w:val="20"/>
    </w:rPr>
  </w:style>
  <w:style w:type="paragraph" w:styleId="24">
    <w:name w:val="Title"/>
    <w:basedOn w:val="1"/>
    <w:next w:val="2"/>
    <w:autoRedefine/>
    <w:qFormat/>
    <w:uiPriority w:val="0"/>
    <w:pPr>
      <w:spacing w:before="240" w:after="60"/>
      <w:jc w:val="center"/>
      <w:outlineLvl w:val="0"/>
    </w:pPr>
    <w:rPr>
      <w:rFonts w:ascii="Arial" w:hAnsi="Arial" w:eastAsia="宋体" w:cs="Arial"/>
      <w:b/>
      <w:bCs/>
      <w:szCs w:val="32"/>
    </w:rPr>
  </w:style>
  <w:style w:type="paragraph" w:styleId="25">
    <w:name w:val="annotation subject"/>
    <w:basedOn w:val="6"/>
    <w:next w:val="6"/>
    <w:link w:val="49"/>
    <w:autoRedefine/>
    <w:semiHidden/>
    <w:qFormat/>
    <w:uiPriority w:val="0"/>
    <w:rPr>
      <w:b/>
      <w:sz w:val="24"/>
      <w:szCs w:val="20"/>
    </w:rPr>
  </w:style>
  <w:style w:type="paragraph" w:styleId="26">
    <w:name w:val="Body Text First Indent"/>
    <w:basedOn w:val="7"/>
    <w:next w:val="21"/>
    <w:autoRedefine/>
    <w:semiHidden/>
    <w:qFormat/>
    <w:uiPriority w:val="0"/>
    <w:pPr>
      <w:spacing w:after="120"/>
      <w:ind w:firstLine="420" w:firstLineChars="100"/>
    </w:pPr>
  </w:style>
  <w:style w:type="paragraph" w:styleId="27">
    <w:name w:val="Body Text First Indent 2"/>
    <w:basedOn w:val="8"/>
    <w:next w:val="1"/>
    <w:autoRedefine/>
    <w:qFormat/>
    <w:uiPriority w:val="0"/>
    <w:pPr>
      <w:snapToGrid/>
      <w:spacing w:after="120"/>
      <w:ind w:leftChars="200" w:firstLine="420" w:firstLineChars="200"/>
    </w:pPr>
    <w:rPr>
      <w:rFonts w:eastAsia="宋体"/>
      <w:kern w:val="2"/>
      <w:sz w:val="21"/>
    </w:rPr>
  </w:style>
  <w:style w:type="table" w:styleId="29">
    <w:name w:val="Table Grid"/>
    <w:basedOn w:val="28"/>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Emphasis"/>
    <w:basedOn w:val="30"/>
    <w:autoRedefine/>
    <w:qFormat/>
    <w:uiPriority w:val="0"/>
    <w:rPr>
      <w:i/>
    </w:rPr>
  </w:style>
  <w:style w:type="character" w:styleId="34">
    <w:name w:val="Hyperlink"/>
    <w:autoRedefine/>
    <w:qFormat/>
    <w:uiPriority w:val="99"/>
    <w:rPr>
      <w:color w:val="0268CD"/>
      <w:u w:val="none"/>
    </w:rPr>
  </w:style>
  <w:style w:type="character" w:styleId="35">
    <w:name w:val="annotation reference"/>
    <w:autoRedefine/>
    <w:semiHidden/>
    <w:qFormat/>
    <w:uiPriority w:val="0"/>
    <w:rPr>
      <w:sz w:val="21"/>
    </w:rPr>
  </w:style>
  <w:style w:type="paragraph" w:customStyle="1" w:styleId="36">
    <w:name w:val="样式 正文文本缩进 + 行距: 1.5 倍行距"/>
    <w:basedOn w:val="37"/>
    <w:next w:val="1"/>
    <w:autoRedefine/>
    <w:qFormat/>
    <w:uiPriority w:val="0"/>
    <w:pPr>
      <w:ind w:left="90" w:leftChars="32" w:firstLine="560"/>
    </w:pPr>
    <w:rPr>
      <w:rFonts w:cs="宋体"/>
    </w:rPr>
  </w:style>
  <w:style w:type="paragraph" w:customStyle="1" w:styleId="37">
    <w:name w:val="正文文本缩进1"/>
    <w:basedOn w:val="1"/>
    <w:next w:val="36"/>
    <w:autoRedefine/>
    <w:qFormat/>
    <w:uiPriority w:val="0"/>
    <w:pPr>
      <w:spacing w:after="120"/>
      <w:ind w:left="420" w:leftChars="200"/>
    </w:pPr>
  </w:style>
  <w:style w:type="paragraph" w:customStyle="1" w:styleId="38">
    <w:name w:val="表头"/>
    <w:basedOn w:val="7"/>
    <w:next w:val="1"/>
    <w:autoRedefine/>
    <w:qFormat/>
    <w:uiPriority w:val="0"/>
    <w:pPr>
      <w:adjustRightInd w:val="0"/>
      <w:snapToGrid w:val="0"/>
      <w:ind w:left="420" w:hanging="420"/>
      <w:jc w:val="center"/>
    </w:pPr>
    <w:rPr>
      <w:color w:val="000000"/>
      <w:szCs w:val="21"/>
    </w:rPr>
  </w:style>
  <w:style w:type="paragraph" w:customStyle="1" w:styleId="39">
    <w:name w:val="标题4"/>
    <w:basedOn w:val="40"/>
    <w:autoRedefine/>
    <w:qFormat/>
    <w:uiPriority w:val="0"/>
    <w:pPr>
      <w:outlineLvl w:val="3"/>
    </w:pPr>
  </w:style>
  <w:style w:type="paragraph" w:customStyle="1" w:styleId="40">
    <w:name w:val="标题3"/>
    <w:basedOn w:val="1"/>
    <w:autoRedefine/>
    <w:qFormat/>
    <w:uiPriority w:val="0"/>
    <w:pPr>
      <w:spacing w:beforeLines="50" w:afterLines="50" w:line="360" w:lineRule="auto"/>
      <w:ind w:firstLine="0" w:firstLineChars="0"/>
      <w:jc w:val="both"/>
    </w:pPr>
    <w:rPr>
      <w:rFonts w:eastAsia="黑体"/>
      <w:b/>
      <w:bCs/>
      <w:spacing w:val="10"/>
      <w:sz w:val="28"/>
    </w:rPr>
  </w:style>
  <w:style w:type="character" w:customStyle="1" w:styleId="41">
    <w:name w:val="批注文字 Char"/>
    <w:link w:val="6"/>
    <w:autoRedefine/>
    <w:qFormat/>
    <w:uiPriority w:val="0"/>
    <w:rPr>
      <w:rFonts w:ascii="Times New Roman" w:hAnsi="Times New Roman" w:eastAsia="宋体"/>
      <w:sz w:val="24"/>
    </w:rPr>
  </w:style>
  <w:style w:type="character" w:customStyle="1" w:styleId="42">
    <w:name w:val="正文文本 Char"/>
    <w:link w:val="7"/>
    <w:autoRedefine/>
    <w:qFormat/>
    <w:uiPriority w:val="0"/>
    <w:rPr>
      <w:sz w:val="18"/>
    </w:rPr>
  </w:style>
  <w:style w:type="character" w:customStyle="1" w:styleId="43">
    <w:name w:val="正文文本缩进 Char"/>
    <w:link w:val="8"/>
    <w:semiHidden/>
    <w:qFormat/>
    <w:uiPriority w:val="0"/>
    <w:rPr>
      <w:rFonts w:ascii="Times New Roman" w:hAnsi="Times New Roman" w:eastAsia="宋体"/>
      <w:sz w:val="24"/>
    </w:rPr>
  </w:style>
  <w:style w:type="character" w:customStyle="1" w:styleId="44">
    <w:name w:val="日期 Char"/>
    <w:link w:val="16"/>
    <w:qFormat/>
    <w:uiPriority w:val="0"/>
    <w:rPr>
      <w:rFonts w:ascii="Times New Roman" w:hAnsi="Times New Roman" w:eastAsia="宋体"/>
      <w:sz w:val="24"/>
    </w:rPr>
  </w:style>
  <w:style w:type="character" w:customStyle="1" w:styleId="45">
    <w:name w:val="批注框文本 Char"/>
    <w:link w:val="19"/>
    <w:semiHidden/>
    <w:qFormat/>
    <w:uiPriority w:val="0"/>
    <w:rPr>
      <w:rFonts w:ascii="Times New Roman" w:hAnsi="Times New Roman" w:eastAsia="宋体"/>
      <w:sz w:val="18"/>
    </w:rPr>
  </w:style>
  <w:style w:type="character" w:customStyle="1" w:styleId="46">
    <w:name w:val="页脚 Char"/>
    <w:link w:val="20"/>
    <w:autoRedefine/>
    <w:qFormat/>
    <w:uiPriority w:val="99"/>
    <w:rPr>
      <w:sz w:val="18"/>
    </w:rPr>
  </w:style>
  <w:style w:type="character" w:customStyle="1" w:styleId="47">
    <w:name w:val="页眉 Char"/>
    <w:link w:val="9"/>
    <w:autoRedefine/>
    <w:qFormat/>
    <w:uiPriority w:val="0"/>
    <w:rPr>
      <w:sz w:val="18"/>
    </w:rPr>
  </w:style>
  <w:style w:type="character" w:customStyle="1" w:styleId="48">
    <w:name w:val="普通(网站) Char"/>
    <w:link w:val="23"/>
    <w:qFormat/>
    <w:uiPriority w:val="0"/>
    <w:rPr>
      <w:rFonts w:ascii="宋体" w:hAnsi="宋体" w:eastAsia="宋体"/>
      <w:sz w:val="24"/>
    </w:rPr>
  </w:style>
  <w:style w:type="character" w:customStyle="1" w:styleId="49">
    <w:name w:val="批注主题 Char"/>
    <w:link w:val="25"/>
    <w:autoRedefine/>
    <w:semiHidden/>
    <w:qFormat/>
    <w:uiPriority w:val="0"/>
    <w:rPr>
      <w:rFonts w:ascii="Times New Roman" w:hAnsi="Times New Roman" w:eastAsia="宋体"/>
      <w:b/>
      <w:kern w:val="2"/>
      <w:sz w:val="24"/>
    </w:rPr>
  </w:style>
  <w:style w:type="paragraph" w:customStyle="1" w:styleId="50">
    <w:name w:val="Default"/>
    <w:basedOn w:val="5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1">
    <w:name w:val="纯文本1"/>
    <w:basedOn w:val="1"/>
    <w:autoRedefine/>
    <w:qFormat/>
    <w:uiPriority w:val="0"/>
    <w:pPr>
      <w:adjustRightInd w:val="0"/>
    </w:pPr>
    <w:rPr>
      <w:rFonts w:hAnsi="Courier New"/>
    </w:rPr>
  </w:style>
  <w:style w:type="paragraph" w:customStyle="1" w:styleId="52">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53">
    <w:name w:val="批注文字 字符1"/>
    <w:autoRedefine/>
    <w:semiHidden/>
    <w:qFormat/>
    <w:uiPriority w:val="0"/>
    <w:rPr>
      <w:rFonts w:ascii="Times New Roman" w:hAnsi="Times New Roman" w:eastAsia="宋体"/>
      <w:sz w:val="24"/>
    </w:rPr>
  </w:style>
  <w:style w:type="character" w:customStyle="1" w:styleId="54">
    <w:name w:val="正文文本 字符1"/>
    <w:autoRedefine/>
    <w:semiHidden/>
    <w:qFormat/>
    <w:uiPriority w:val="0"/>
    <w:rPr>
      <w:rFonts w:ascii="Times New Roman" w:hAnsi="Times New Roman" w:eastAsia="宋体"/>
      <w:sz w:val="24"/>
    </w:rPr>
  </w:style>
  <w:style w:type="character" w:customStyle="1" w:styleId="55">
    <w:name w:val="页脚 字符"/>
    <w:basedOn w:val="30"/>
    <w:qFormat/>
    <w:uiPriority w:val="99"/>
  </w:style>
  <w:style w:type="character" w:customStyle="1" w:styleId="56">
    <w:name w:val="日期 字符"/>
    <w:semiHidden/>
    <w:qFormat/>
    <w:uiPriority w:val="0"/>
    <w:rPr>
      <w:rFonts w:ascii="Times New Roman" w:hAnsi="Times New Roman" w:eastAsia="宋体"/>
      <w:sz w:val="24"/>
    </w:rPr>
  </w:style>
  <w:style w:type="character" w:customStyle="1" w:styleId="57">
    <w:name w:val="表格 Char"/>
    <w:link w:val="58"/>
    <w:qFormat/>
    <w:uiPriority w:val="0"/>
    <w:rPr>
      <w:rFonts w:ascii="宋体"/>
      <w:sz w:val="21"/>
    </w:rPr>
  </w:style>
  <w:style w:type="paragraph" w:customStyle="1" w:styleId="58">
    <w:name w:val="表格"/>
    <w:basedOn w:val="38"/>
    <w:next w:val="1"/>
    <w:link w:val="57"/>
    <w:qFormat/>
    <w:uiPriority w:val="0"/>
    <w:pPr>
      <w:adjustRightInd w:val="0"/>
      <w:snapToGrid w:val="0"/>
      <w:spacing w:beforeLines="10" w:afterLines="10" w:line="259" w:lineRule="auto"/>
      <w:jc w:val="center"/>
    </w:pPr>
    <w:rPr>
      <w:rFonts w:ascii="宋体"/>
      <w:kern w:val="0"/>
      <w:szCs w:val="20"/>
    </w:rPr>
  </w:style>
  <w:style w:type="character" w:customStyle="1" w:styleId="59">
    <w:name w:val="font01"/>
    <w:qFormat/>
    <w:uiPriority w:val="0"/>
    <w:rPr>
      <w:rFonts w:hint="eastAsia" w:ascii="宋体" w:hAnsi="宋体" w:eastAsia="宋体" w:cs="宋体"/>
      <w:color w:val="000000"/>
      <w:sz w:val="21"/>
      <w:szCs w:val="21"/>
      <w:u w:val="none"/>
      <w:vertAlign w:val="superscript"/>
    </w:rPr>
  </w:style>
  <w:style w:type="paragraph" w:customStyle="1" w:styleId="60">
    <w:name w:val="惠泽正文"/>
    <w:basedOn w:val="1"/>
    <w:autoRedefine/>
    <w:qFormat/>
    <w:uiPriority w:val="0"/>
    <w:pPr>
      <w:spacing w:line="480" w:lineRule="exact"/>
      <w:ind w:firstLine="480" w:firstLineChars="200"/>
    </w:pPr>
    <w:rPr>
      <w:rFonts w:hAnsi="宋体" w:cs="宋体"/>
      <w:sz w:val="24"/>
    </w:rPr>
  </w:style>
  <w:style w:type="paragraph" w:customStyle="1" w:styleId="61">
    <w:name w:val="11111"/>
    <w:basedOn w:val="1"/>
    <w:next w:val="1"/>
    <w:qFormat/>
    <w:uiPriority w:val="0"/>
    <w:pPr>
      <w:spacing w:line="360" w:lineRule="auto"/>
      <w:ind w:firstLine="200" w:firstLineChars="200"/>
    </w:pPr>
    <w:rPr>
      <w:rFonts w:ascii="宋体" w:hAnsi="宋体" w:cs="宋体"/>
      <w:kern w:val="0"/>
      <w:sz w:val="24"/>
    </w:rPr>
  </w:style>
  <w:style w:type="paragraph" w:customStyle="1" w:styleId="62">
    <w:name w:val="惠泽表格"/>
    <w:basedOn w:val="1"/>
    <w:autoRedefine/>
    <w:qFormat/>
    <w:uiPriority w:val="0"/>
    <w:pPr>
      <w:spacing w:line="480" w:lineRule="exact"/>
      <w:jc w:val="center"/>
    </w:pPr>
    <w:rPr>
      <w:rFonts w:ascii="黑体" w:hAnsi="黑体" w:eastAsia="黑体" w:cs="宋体"/>
      <w:sz w:val="24"/>
    </w:rPr>
  </w:style>
  <w:style w:type="paragraph" w:customStyle="1" w:styleId="63">
    <w:name w:val="1正文"/>
    <w:basedOn w:val="1"/>
    <w:autoRedefine/>
    <w:qFormat/>
    <w:uiPriority w:val="0"/>
    <w:pPr>
      <w:widowControl/>
      <w:spacing w:line="360" w:lineRule="auto"/>
      <w:ind w:firstLine="200" w:firstLineChars="200"/>
    </w:pPr>
    <w:rPr>
      <w:kern w:val="0"/>
      <w:sz w:val="24"/>
      <w:lang w:val="en-GB"/>
    </w:rPr>
  </w:style>
  <w:style w:type="paragraph" w:customStyle="1" w:styleId="6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65">
    <w:name w:val="No Spacing"/>
    <w:qFormat/>
    <w:uiPriority w:val="3"/>
    <w:pPr>
      <w:spacing w:beforeLines="50" w:afterLines="50"/>
    </w:pPr>
    <w:rPr>
      <w:rFonts w:ascii="Times New Roman" w:hAnsi="Times New Roman" w:eastAsia="Times New Roman" w:cs="Times New Roman"/>
      <w:sz w:val="24"/>
      <w:szCs w:val="24"/>
      <w:lang w:val="en-US" w:eastAsia="en-US" w:bidi="en-US"/>
    </w:rPr>
  </w:style>
  <w:style w:type="paragraph" w:customStyle="1" w:styleId="66">
    <w:name w:val="样式 样式 样式 首行缩进:  1 字符 + 首行缩进:  2 字符1 + 首行缩进:  2 字符2"/>
    <w:basedOn w:val="1"/>
    <w:qFormat/>
    <w:uiPriority w:val="0"/>
    <w:pPr>
      <w:spacing w:line="360" w:lineRule="auto"/>
      <w:ind w:firstLine="480" w:firstLineChars="200"/>
    </w:pPr>
    <w:rPr>
      <w:rFonts w:cs="宋体"/>
      <w:sz w:val="24"/>
    </w:rPr>
  </w:style>
  <w:style w:type="paragraph" w:customStyle="1" w:styleId="67">
    <w:name w:val="表格内容"/>
    <w:basedOn w:val="7"/>
    <w:autoRedefine/>
    <w:qFormat/>
    <w:uiPriority w:val="0"/>
    <w:pPr>
      <w:adjustRightInd w:val="0"/>
      <w:snapToGrid w:val="0"/>
      <w:jc w:val="left"/>
    </w:pPr>
    <w:rPr>
      <w:rFonts w:ascii="宋体" w:hAnsi="Calibri"/>
      <w:color w:val="000000"/>
      <w:kern w:val="0"/>
      <w:szCs w:val="18"/>
    </w:rPr>
  </w:style>
  <w:style w:type="paragraph" w:customStyle="1" w:styleId="68">
    <w:name w:val="【表头】"/>
    <w:basedOn w:val="1"/>
    <w:qFormat/>
    <w:uiPriority w:val="0"/>
    <w:pPr>
      <w:widowControl/>
      <w:spacing w:line="460" w:lineRule="exact"/>
      <w:jc w:val="center"/>
    </w:pPr>
    <w:rPr>
      <w:rFonts w:eastAsia="黑体" w:cs="宋体"/>
      <w:kern w:val="0"/>
      <w:sz w:val="24"/>
    </w:rPr>
  </w:style>
  <w:style w:type="paragraph" w:customStyle="1" w:styleId="69">
    <w:name w:val="表格内容样式"/>
    <w:basedOn w:val="1"/>
    <w:autoRedefine/>
    <w:qFormat/>
    <w:uiPriority w:val="0"/>
    <w:pPr>
      <w:jc w:val="center"/>
    </w:pPr>
    <w:rPr>
      <w:color w:val="0000FF"/>
      <w:szCs w:val="21"/>
    </w:rPr>
  </w:style>
  <w:style w:type="paragraph" w:customStyle="1" w:styleId="70">
    <w:name w:val="正文_3"/>
    <w:autoRedefine/>
    <w:qFormat/>
    <w:uiPriority w:val="0"/>
    <w:pPr>
      <w:widowControl w:val="0"/>
      <w:jc w:val="both"/>
    </w:pPr>
    <w:rPr>
      <w:rFonts w:ascii="Calibri" w:hAnsi="Calibri" w:eastAsia="宋体" w:cs="Times New Roman"/>
      <w:kern w:val="2"/>
      <w:sz w:val="21"/>
      <w:lang w:val="en-US" w:eastAsia="zh-CN" w:bidi="ar-SA"/>
    </w:rPr>
  </w:style>
  <w:style w:type="paragraph" w:customStyle="1" w:styleId="71">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2">
    <w:name w:val="表格内"/>
    <w:basedOn w:val="1"/>
    <w:autoRedefine/>
    <w:qFormat/>
    <w:uiPriority w:val="0"/>
    <w:pPr>
      <w:jc w:val="center"/>
    </w:pPr>
    <w:rPr>
      <w:szCs w:val="20"/>
    </w:rPr>
  </w:style>
  <w:style w:type="paragraph" w:customStyle="1" w:styleId="73">
    <w:name w:val="Table Paragraph"/>
    <w:basedOn w:val="1"/>
    <w:qFormat/>
    <w:uiPriority w:val="1"/>
    <w:pPr>
      <w:autoSpaceDE w:val="0"/>
      <w:autoSpaceDN w:val="0"/>
      <w:jc w:val="left"/>
    </w:pPr>
    <w:rPr>
      <w:rFonts w:eastAsia="Times New Roman"/>
      <w:kern w:val="0"/>
      <w:sz w:val="22"/>
      <w:szCs w:val="22"/>
      <w:lang w:eastAsia="en-US"/>
    </w:rPr>
  </w:style>
  <w:style w:type="paragraph" w:customStyle="1" w:styleId="74">
    <w:name w:val="样式 样式 样式 样式 首行缩进:  1 字符 + 首行缩进:  2 字符1 + 首行缩进:  2 字符 + Arial"/>
    <w:basedOn w:val="1"/>
    <w:autoRedefine/>
    <w:qFormat/>
    <w:uiPriority w:val="0"/>
    <w:pPr>
      <w:spacing w:line="360" w:lineRule="auto"/>
      <w:ind w:firstLine="480" w:firstLineChars="200"/>
    </w:pPr>
    <w:rPr>
      <w:rFonts w:ascii="Arial" w:hAnsi="Arial" w:cs="宋体"/>
      <w:sz w:val="24"/>
    </w:rPr>
  </w:style>
  <w:style w:type="paragraph" w:customStyle="1" w:styleId="75">
    <w:name w:val="IDC A-Head (2nd Line)"/>
    <w:basedOn w:val="1"/>
    <w:next w:val="1"/>
    <w:qFormat/>
    <w:uiPriority w:val="0"/>
    <w:pPr>
      <w:widowControl/>
      <w:tabs>
        <w:tab w:val="left" w:pos="2040"/>
      </w:tabs>
      <w:ind w:left="2040" w:leftChars="800" w:hanging="360" w:hangingChars="200"/>
      <w:jc w:val="center"/>
    </w:pPr>
    <w:rPr>
      <w:caps/>
      <w:kern w:val="0"/>
      <w:sz w:val="24"/>
    </w:rPr>
  </w:style>
  <w:style w:type="paragraph" w:customStyle="1" w:styleId="76">
    <w:name w:val="*正文"/>
    <w:basedOn w:val="1"/>
    <w:autoRedefine/>
    <w:qFormat/>
    <w:uiPriority w:val="0"/>
    <w:pPr>
      <w:adjustRightInd w:val="0"/>
      <w:spacing w:line="360" w:lineRule="auto"/>
      <w:ind w:firstLine="200" w:firstLineChars="200"/>
    </w:pPr>
    <w:rPr>
      <w:kern w:val="0"/>
      <w:sz w:val="24"/>
      <w:szCs w:val="24"/>
    </w:rPr>
  </w:style>
  <w:style w:type="paragraph" w:customStyle="1" w:styleId="77">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8">
    <w:name w:val="样式 样式 样式 样式 首行缩进:  1 字符 + 首行缩进:  2 字符2 + 首行缩进:  2 字符 +"/>
    <w:basedOn w:val="1"/>
    <w:autoRedefine/>
    <w:qFormat/>
    <w:uiPriority w:val="0"/>
    <w:pPr>
      <w:spacing w:line="360" w:lineRule="auto"/>
      <w:ind w:firstLine="480" w:firstLineChars="200"/>
    </w:pPr>
    <w:rPr>
      <w:rFonts w:cs="宋体"/>
      <w:kern w:val="0"/>
      <w:sz w:val="24"/>
    </w:rPr>
  </w:style>
  <w:style w:type="paragraph" w:customStyle="1" w:styleId="79">
    <w:name w:val="【正文】"/>
    <w:basedOn w:val="1"/>
    <w:autoRedefine/>
    <w:qFormat/>
    <w:uiPriority w:val="0"/>
    <w:pPr>
      <w:spacing w:line="360" w:lineRule="auto"/>
      <w:ind w:firstLine="200" w:firstLineChars="200"/>
    </w:pPr>
    <w:rPr>
      <w:kern w:val="0"/>
      <w:sz w:val="24"/>
    </w:rPr>
  </w:style>
  <w:style w:type="paragraph" w:styleId="80">
    <w:name w:val="List Paragraph"/>
    <w:basedOn w:val="1"/>
    <w:autoRedefine/>
    <w:qFormat/>
    <w:uiPriority w:val="34"/>
    <w:pPr>
      <w:ind w:left="720"/>
      <w:contextualSpacing/>
    </w:pPr>
  </w:style>
  <w:style w:type="paragraph" w:customStyle="1" w:styleId="81">
    <w:name w:val="正文1"/>
    <w:basedOn w:val="1"/>
    <w:autoRedefine/>
    <w:qFormat/>
    <w:uiPriority w:val="0"/>
  </w:style>
  <w:style w:type="paragraph" w:customStyle="1" w:styleId="82">
    <w:name w:val="样式 样式 样式 首行缩进:  1 字符 + 首行缩进:  2 字符2 + 首行缩进:  2 字符"/>
    <w:basedOn w:val="1"/>
    <w:autoRedefine/>
    <w:qFormat/>
    <w:uiPriority w:val="0"/>
    <w:pPr>
      <w:spacing w:line="360" w:lineRule="auto"/>
      <w:ind w:firstLine="480" w:firstLineChars="200"/>
    </w:pPr>
    <w:rPr>
      <w:rFonts w:ascii="宋体" w:hAnsi="宋体" w:cs="宋体"/>
      <w:sz w:val="24"/>
    </w:rPr>
  </w:style>
  <w:style w:type="character" w:customStyle="1" w:styleId="83">
    <w:name w:val="font51"/>
    <w:basedOn w:val="30"/>
    <w:autoRedefine/>
    <w:qFormat/>
    <w:uiPriority w:val="0"/>
    <w:rPr>
      <w:rFonts w:hint="eastAsia" w:ascii="宋体" w:hAnsi="宋体" w:eastAsia="宋体" w:cs="宋体"/>
      <w:color w:val="000000"/>
      <w:sz w:val="21"/>
      <w:szCs w:val="21"/>
      <w:u w:val="none"/>
    </w:rPr>
  </w:style>
  <w:style w:type="character" w:customStyle="1" w:styleId="84">
    <w:name w:val="font21"/>
    <w:basedOn w:val="30"/>
    <w:autoRedefine/>
    <w:qFormat/>
    <w:uiPriority w:val="0"/>
    <w:rPr>
      <w:rFonts w:hint="default" w:ascii="Times New Roman" w:hAnsi="Times New Roman" w:cs="Times New Roman"/>
      <w:color w:val="000000"/>
      <w:sz w:val="21"/>
      <w:szCs w:val="21"/>
      <w:u w:val="none"/>
    </w:rPr>
  </w:style>
  <w:style w:type="character" w:customStyle="1" w:styleId="85">
    <w:name w:val="font11"/>
    <w:basedOn w:val="30"/>
    <w:autoRedefine/>
    <w:qFormat/>
    <w:uiPriority w:val="0"/>
    <w:rPr>
      <w:rFonts w:hint="default" w:ascii="Times New Roman" w:hAnsi="Times New Roman" w:cs="Times New Roman"/>
      <w:color w:val="000000"/>
      <w:sz w:val="21"/>
      <w:szCs w:val="21"/>
      <w:u w:val="none"/>
      <w:vertAlign w:val="superscript"/>
    </w:rPr>
  </w:style>
  <w:style w:type="character" w:customStyle="1" w:styleId="86">
    <w:name w:val="font31"/>
    <w:basedOn w:val="30"/>
    <w:autoRedefine/>
    <w:qFormat/>
    <w:uiPriority w:val="0"/>
    <w:rPr>
      <w:rFonts w:hint="default" w:ascii="Times New Roman" w:hAnsi="Times New Roman" w:cs="Times New Roman"/>
      <w:color w:val="000000"/>
      <w:sz w:val="22"/>
      <w:szCs w:val="22"/>
      <w:u w:val="none"/>
    </w:rPr>
  </w:style>
  <w:style w:type="character" w:customStyle="1" w:styleId="87">
    <w:name w:val="font41"/>
    <w:basedOn w:val="30"/>
    <w:autoRedefine/>
    <w:qFormat/>
    <w:uiPriority w:val="0"/>
    <w:rPr>
      <w:rFonts w:hint="eastAsia" w:ascii="宋体" w:hAnsi="宋体" w:eastAsia="宋体" w:cs="宋体"/>
      <w:color w:val="000000"/>
      <w:sz w:val="21"/>
      <w:szCs w:val="21"/>
      <w:u w:val="none"/>
    </w:rPr>
  </w:style>
  <w:style w:type="character" w:customStyle="1" w:styleId="88">
    <w:name w:val="font131"/>
    <w:basedOn w:val="30"/>
    <w:autoRedefine/>
    <w:qFormat/>
    <w:uiPriority w:val="0"/>
    <w:rPr>
      <w:rFonts w:hint="default" w:ascii="Times New Roman" w:hAnsi="Times New Roman" w:cs="Times New Roman"/>
      <w:b/>
      <w:bCs/>
      <w:color w:val="000000"/>
      <w:sz w:val="21"/>
      <w:szCs w:val="21"/>
      <w:u w:val="none"/>
    </w:rPr>
  </w:style>
  <w:style w:type="paragraph" w:customStyle="1" w:styleId="89">
    <w:name w:val="msonormalcxspmidd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0">
    <w:name w:val="表格表头"/>
    <w:basedOn w:val="1"/>
    <w:autoRedefine/>
    <w:qFormat/>
    <w:uiPriority w:val="0"/>
    <w:pPr>
      <w:adjustRightInd w:val="0"/>
      <w:snapToGrid w:val="0"/>
      <w:jc w:val="center"/>
    </w:pPr>
    <w:rPr>
      <w:b/>
      <w:bCs/>
      <w:szCs w:val="21"/>
    </w:rPr>
  </w:style>
  <w:style w:type="paragraph" w:customStyle="1" w:styleId="91">
    <w:name w:val="图表文字"/>
    <w:basedOn w:val="7"/>
    <w:autoRedefine/>
    <w:qFormat/>
    <w:uiPriority w:val="0"/>
    <w:pPr>
      <w:widowControl w:val="0"/>
      <w:jc w:val="center"/>
    </w:pPr>
    <w:rPr>
      <w:rFonts w:ascii="Times New Roman" w:hAnsi="Times New Roman" w:eastAsia="宋体" w:cs="Times New Roman"/>
      <w:snapToGrid w:val="0"/>
      <w:kern w:val="2"/>
      <w:sz w:val="21"/>
      <w:szCs w:val="24"/>
      <w:lang w:val="en-US" w:eastAsia="zh-CN" w:bidi="ar-SA"/>
    </w:rPr>
  </w:style>
  <w:style w:type="character" w:customStyle="1" w:styleId="92">
    <w:name w:val="font61"/>
    <w:basedOn w:val="30"/>
    <w:autoRedefine/>
    <w:qFormat/>
    <w:uiPriority w:val="0"/>
    <w:rPr>
      <w:rFonts w:hint="eastAsia" w:ascii="宋体" w:hAnsi="宋体" w:eastAsia="宋体" w:cs="宋体"/>
      <w:color w:val="000000"/>
      <w:sz w:val="21"/>
      <w:szCs w:val="21"/>
      <w:u w:val="none"/>
    </w:rPr>
  </w:style>
  <w:style w:type="paragraph" w:customStyle="1" w:styleId="93">
    <w:name w:val="样式 正文缩进正文缩进2正文缩进 Char Char正文缩进 Char Char Char Char正文缩进 Char ..."/>
    <w:basedOn w:val="5"/>
    <w:autoRedefine/>
    <w:qFormat/>
    <w:uiPriority w:val="0"/>
    <w:pPr>
      <w:spacing w:line="360" w:lineRule="auto"/>
      <w:ind w:firstLine="200"/>
    </w:pPr>
    <w:rPr>
      <w:rFonts w:ascii="Calibri" w:hAnsi="Calibri" w:eastAsia="宋体" w:cs="宋体"/>
      <w:sz w:val="24"/>
    </w:rPr>
  </w:style>
  <w:style w:type="paragraph" w:customStyle="1" w:styleId="94">
    <w:name w:val="样式 五号 居中"/>
    <w:basedOn w:val="1"/>
    <w:autoRedefine/>
    <w:qFormat/>
    <w:uiPriority w:val="0"/>
    <w:pPr>
      <w:spacing w:line="240" w:lineRule="atLeast"/>
      <w:jc w:val="center"/>
    </w:pPr>
    <w:rPr>
      <w:rFonts w:cs="宋体"/>
      <w:szCs w:val="20"/>
    </w:rPr>
  </w:style>
  <w:style w:type="paragraph" w:customStyle="1" w:styleId="95">
    <w:name w:val="样式1"/>
    <w:basedOn w:val="5"/>
    <w:autoRedefine/>
    <w:qFormat/>
    <w:uiPriority w:val="0"/>
    <w:pPr>
      <w:snapToGrid w:val="0"/>
      <w:jc w:val="center"/>
    </w:pPr>
    <w:rPr>
      <w:rFonts w:ascii="宋体" w:eastAsia="宋体"/>
    </w:rPr>
  </w:style>
  <w:style w:type="character" w:customStyle="1" w:styleId="96">
    <w:name w:val="NormalCharacter"/>
    <w:autoRedefine/>
    <w:semiHidden/>
    <w:qFormat/>
    <w:uiPriority w:val="0"/>
  </w:style>
  <w:style w:type="paragraph" w:customStyle="1" w:styleId="97">
    <w:name w:val="图表标题"/>
    <w:basedOn w:val="1"/>
    <w:autoRedefine/>
    <w:qFormat/>
    <w:uiPriority w:val="0"/>
    <w:pPr>
      <w:spacing w:line="240" w:lineRule="auto"/>
      <w:ind w:firstLine="0" w:firstLineChars="0"/>
      <w:jc w:val="center"/>
    </w:pPr>
    <w:rPr>
      <w:b/>
      <w:szCs w:val="22"/>
    </w:rPr>
  </w:style>
  <w:style w:type="paragraph" w:customStyle="1" w:styleId="98">
    <w:name w:val="表格文字"/>
    <w:basedOn w:val="1"/>
    <w:autoRedefine/>
    <w:qFormat/>
    <w:uiPriority w:val="0"/>
    <w:pPr>
      <w:adjustRightInd w:val="0"/>
      <w:spacing w:line="320" w:lineRule="exact"/>
      <w:jc w:val="center"/>
    </w:pPr>
    <w:rPr>
      <w:sz w:val="24"/>
    </w:rPr>
  </w:style>
  <w:style w:type="paragraph" w:customStyle="1" w:styleId="99">
    <w:name w:val="样式 样式 样式 小四 左 首行缩进:  2 字符 + 首行缩进:  2 字符 Char + 右  0 字符1"/>
    <w:basedOn w:val="1"/>
    <w:autoRedefine/>
    <w:qFormat/>
    <w:uiPriority w:val="0"/>
    <w:pPr>
      <w:keepNext w:val="0"/>
      <w:keepLines w:val="0"/>
      <w:widowControl w:val="0"/>
      <w:suppressLineNumbers w:val="0"/>
      <w:adjustRightInd w:val="0"/>
      <w:spacing w:before="0" w:beforeAutospacing="0" w:after="0" w:afterAutospacing="0" w:line="360" w:lineRule="auto"/>
      <w:ind w:left="0" w:right="0" w:firstLine="200" w:firstLineChars="200"/>
      <w:jc w:val="left"/>
    </w:pPr>
    <w:rPr>
      <w:rFonts w:hint="default" w:ascii="Times New Roman" w:hAnsi="Times New Roman" w:eastAsia="宋体" w:cs="宋体"/>
      <w:kern w:val="2"/>
      <w:sz w:val="24"/>
      <w:szCs w:val="20"/>
      <w:lang w:val="en-US" w:eastAsia="zh-CN" w:bidi="ar"/>
    </w:rPr>
  </w:style>
  <w:style w:type="character" w:customStyle="1" w:styleId="100">
    <w:name w:val="font71"/>
    <w:basedOn w:val="30"/>
    <w:autoRedefine/>
    <w:qFormat/>
    <w:uiPriority w:val="0"/>
    <w:rPr>
      <w:rFonts w:hint="default" w:ascii="Times New Roman" w:hAnsi="Times New Roman" w:cs="Times New Roman"/>
      <w:color w:val="000000"/>
      <w:sz w:val="21"/>
      <w:szCs w:val="21"/>
      <w:u w:val="none"/>
    </w:rPr>
  </w:style>
  <w:style w:type="character" w:customStyle="1" w:styleId="101">
    <w:name w:val="font81"/>
    <w:basedOn w:val="30"/>
    <w:autoRedefine/>
    <w:qFormat/>
    <w:uiPriority w:val="0"/>
    <w:rPr>
      <w:rFonts w:hint="eastAsia" w:ascii="宋体" w:hAnsi="宋体" w:eastAsia="宋体" w:cs="宋体"/>
      <w:color w:val="000000"/>
      <w:sz w:val="21"/>
      <w:szCs w:val="21"/>
      <w:u w:val="none"/>
    </w:rPr>
  </w:style>
  <w:style w:type="character" w:customStyle="1" w:styleId="102">
    <w:name w:val="font101"/>
    <w:basedOn w:val="30"/>
    <w:autoRedefine/>
    <w:qFormat/>
    <w:uiPriority w:val="0"/>
    <w:rPr>
      <w:rFonts w:hint="default" w:ascii="Times New Roman" w:hAnsi="Times New Roman" w:cs="Times New Roman"/>
      <w:b/>
      <w:bCs/>
      <w:color w:val="FF0000"/>
      <w:sz w:val="21"/>
      <w:szCs w:val="21"/>
      <w:u w:val="none"/>
    </w:rPr>
  </w:style>
  <w:style w:type="paragraph" w:customStyle="1" w:styleId="103">
    <w:name w:val="表格标题"/>
    <w:basedOn w:val="1"/>
    <w:next w:val="1"/>
    <w:autoRedefine/>
    <w:qFormat/>
    <w:uiPriority w:val="0"/>
    <w:pPr>
      <w:adjustRightInd w:val="0"/>
      <w:spacing w:line="360" w:lineRule="auto"/>
      <w:ind w:firstLine="0" w:firstLineChars="0"/>
      <w:jc w:val="center"/>
    </w:pPr>
    <w:rPr>
      <w:rFonts w:ascii="Times New Roman" w:hAnsi="Times New Roman" w:eastAsia="宋体"/>
      <w:b/>
      <w:kern w:val="0"/>
      <w:sz w:val="21"/>
      <w:szCs w:val="28"/>
    </w:rPr>
  </w:style>
  <w:style w:type="paragraph" w:customStyle="1" w:styleId="104">
    <w:name w:val="Table Text"/>
    <w:basedOn w:val="1"/>
    <w:semiHidden/>
    <w:qFormat/>
    <w:uiPriority w:val="0"/>
    <w:rPr>
      <w:rFonts w:ascii="宋体" w:hAnsi="宋体" w:eastAsia="宋体" w:cs="宋体"/>
      <w:sz w:val="24"/>
      <w:szCs w:val="24"/>
      <w:lang w:val="en-US" w:eastAsia="en-US" w:bidi="ar-SA"/>
    </w:rPr>
  </w:style>
  <w:style w:type="table" w:customStyle="1" w:styleId="105">
    <w:name w:val="Table Normal"/>
    <w:semiHidden/>
    <w:unhideWhenUsed/>
    <w:qFormat/>
    <w:uiPriority w:val="0"/>
    <w:tblPr>
      <w:tblCellMar>
        <w:top w:w="0" w:type="dxa"/>
        <w:left w:w="0" w:type="dxa"/>
        <w:bottom w:w="0" w:type="dxa"/>
        <w:right w:w="0" w:type="dxa"/>
      </w:tblCellMar>
    </w:tblPr>
  </w:style>
  <w:style w:type="paragraph" w:customStyle="1" w:styleId="106">
    <w:name w:val="样式2"/>
    <w:basedOn w:val="107"/>
    <w:next w:val="107"/>
    <w:qFormat/>
    <w:uiPriority w:val="0"/>
    <w:pPr>
      <w:spacing w:before="120" w:after="120" w:line="460" w:lineRule="exact"/>
    </w:pPr>
    <w:rPr>
      <w:rFonts w:ascii="Cambria" w:hAnsi="Cambria"/>
      <w:sz w:val="24"/>
    </w:rPr>
  </w:style>
  <w:style w:type="paragraph" w:customStyle="1" w:styleId="107">
    <w:name w:val="标题 41"/>
    <w:basedOn w:val="1"/>
    <w:next w:val="1"/>
    <w:qFormat/>
    <w:uiPriority w:val="1"/>
    <w:pPr>
      <w:keepNext/>
      <w:keepLines/>
      <w:spacing w:before="280" w:after="290" w:line="372" w:lineRule="auto"/>
      <w:outlineLvl w:val="3"/>
    </w:pPr>
    <w:rPr>
      <w:rFonts w:ascii="Arial" w:hAnsi="Arial" w:eastAsia="黑体"/>
      <w:sz w:val="28"/>
    </w:rPr>
  </w:style>
  <w:style w:type="paragraph" w:customStyle="1" w:styleId="108">
    <w:name w:val="000000"/>
    <w:basedOn w:val="63"/>
    <w:qFormat/>
    <w:uiPriority w:val="0"/>
    <w:pPr>
      <w:spacing w:line="240" w:lineRule="auto"/>
      <w:ind w:firstLine="0" w:firstLineChars="0"/>
      <w:jc w:val="center"/>
    </w:pPr>
    <w:rPr>
      <w:rFonts w:ascii="Times New Roman" w:hAnsi="Times New Roman" w:eastAsia="宋体"/>
      <w:b/>
      <w:sz w:val="21"/>
    </w:rPr>
  </w:style>
  <w:style w:type="character" w:customStyle="1" w:styleId="109">
    <w:name w:val="17"/>
    <w:basedOn w:val="30"/>
    <w:autoRedefine/>
    <w:qFormat/>
    <w:uiPriority w:val="0"/>
    <w:rPr>
      <w:rFonts w:hint="eastAsia" w:ascii="宋体" w:hAnsi="宋体" w:eastAsia="宋体" w:cs="宋体"/>
      <w:color w:val="0000FF"/>
      <w:sz w:val="21"/>
      <w:szCs w:val="21"/>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wmf"/><Relationship Id="rId51" Type="http://schemas.openxmlformats.org/officeDocument/2006/relationships/oleObject" Target="embeddings/oleObject19.bin"/><Relationship Id="rId50" Type="http://schemas.openxmlformats.org/officeDocument/2006/relationships/image" Target="media/image26.wmf"/><Relationship Id="rId5" Type="http://schemas.openxmlformats.org/officeDocument/2006/relationships/footer" Target="footer3.xml"/><Relationship Id="rId49" Type="http://schemas.openxmlformats.org/officeDocument/2006/relationships/oleObject" Target="embeddings/oleObject18.bin"/><Relationship Id="rId48" Type="http://schemas.openxmlformats.org/officeDocument/2006/relationships/oleObject" Target="embeddings/oleObject17.bin"/><Relationship Id="rId47" Type="http://schemas.openxmlformats.org/officeDocument/2006/relationships/oleObject" Target="embeddings/oleObject16.bin"/><Relationship Id="rId46" Type="http://schemas.openxmlformats.org/officeDocument/2006/relationships/image" Target="media/image25.wmf"/><Relationship Id="rId45" Type="http://schemas.openxmlformats.org/officeDocument/2006/relationships/oleObject" Target="embeddings/oleObject15.bin"/><Relationship Id="rId44" Type="http://schemas.openxmlformats.org/officeDocument/2006/relationships/image" Target="media/image24.wmf"/><Relationship Id="rId43" Type="http://schemas.openxmlformats.org/officeDocument/2006/relationships/oleObject" Target="embeddings/oleObject14.bin"/><Relationship Id="rId42" Type="http://schemas.openxmlformats.org/officeDocument/2006/relationships/image" Target="media/image23.wmf"/><Relationship Id="rId41" Type="http://schemas.openxmlformats.org/officeDocument/2006/relationships/oleObject" Target="embeddings/oleObject13.bin"/><Relationship Id="rId40" Type="http://schemas.openxmlformats.org/officeDocument/2006/relationships/image" Target="media/image22.wmf"/><Relationship Id="rId4" Type="http://schemas.openxmlformats.org/officeDocument/2006/relationships/footer" Target="footer2.xml"/><Relationship Id="rId39" Type="http://schemas.openxmlformats.org/officeDocument/2006/relationships/oleObject" Target="embeddings/oleObject12.bin"/><Relationship Id="rId38" Type="http://schemas.openxmlformats.org/officeDocument/2006/relationships/image" Target="media/image21.wmf"/><Relationship Id="rId37" Type="http://schemas.openxmlformats.org/officeDocument/2006/relationships/oleObject" Target="embeddings/oleObject11.bin"/><Relationship Id="rId36" Type="http://schemas.openxmlformats.org/officeDocument/2006/relationships/image" Target="media/image20.wmf"/><Relationship Id="rId35" Type="http://schemas.openxmlformats.org/officeDocument/2006/relationships/oleObject" Target="embeddings/oleObject10.bin"/><Relationship Id="rId34" Type="http://schemas.openxmlformats.org/officeDocument/2006/relationships/image" Target="media/image19.wmf"/><Relationship Id="rId33" Type="http://schemas.openxmlformats.org/officeDocument/2006/relationships/oleObject" Target="embeddings/oleObject9.bin"/><Relationship Id="rId32" Type="http://schemas.openxmlformats.org/officeDocument/2006/relationships/image" Target="media/image18.wmf"/><Relationship Id="rId31" Type="http://schemas.openxmlformats.org/officeDocument/2006/relationships/oleObject" Target="embeddings/oleObject8.bin"/><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207" textRotate="1"/>
  </customShpExts>
  <extobjs>
    <extobj name="ECB019B1-382A-4266-B25C-5B523AA43C14-1">
      <extobjdata type="ECB019B1-382A-4266-B25C-5B523AA43C14" data="ewoJIkZpbGVJZCIgOiAiMzQzNTM4OTA5MTM0IiwKCSJHcm91cElkIiA6ICIxNTc5Mzg4ODMiLAoJIkltYWdlIiA6ICJpVkJPUncwS0dnb0FBQUFOU1VoRVVnQUFCeG9BQUFOZENBWUFBQUNqeEhrRUFBQUFBWE5TUjBJQXJzNGM2UUFBSUFCSlJFRlVlSnpzM1hsOFhIVzkvL0gzOTh3a1RicXZhU2xkQXBTdU5KMlpDTEtJbEZLNGlnaWlYSytYSzRzS1hxQUtsd3F5eWI0VXJtQVJaRkVSZjdqZ2dsWkFaZkVDWlpNOW1TUk45d0l0M2R2UXZjMDJjejYvUHpvVHAra2ttY21lOG5vK0hqeHlsdS8zOC8yY0lYelBjRDQ1NTB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GTmFDYWdBQUFIdEpSRUZVQUFBQUFBQUFBQUFBQUFBQUFBQUFBQUFBQUFBQUFBQUFBQUFBQUFBQUFBQUFBQUFBQUFBQUFBQUFBQUFBQUFBQUFBQUFBQUFBQUFBQUFBQUFBQUFBQUFBQUFBQUFBQUFBQUFBQUFBQUFBQUFBQUFBQUFBQUFBQUFBQUFBQUFBQUFBQUFBQUFBQUFBQUFBQUFBQUFBQUFBQUFBSmZqL3dIaDFsMHNMdWVLb2dBQUFBQkpSVTVFcmtKZ2dnPT0iLAoJIlRoZW1lIiA6ICIiLAoJIlR5cGUiIDogImZsb3ciLAoJIlZlcnNpb24iIDogIiIKfQo="/>
    </extobj>
    <extobj name="ECB019B1-382A-4266-B25C-5B523AA43C14-2">
      <extobjdata type="ECB019B1-382A-4266-B25C-5B523AA43C14" data="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Pages>75</Pages>
  <Words>43067</Words>
  <Characters>49247</Characters>
  <Lines>13</Lines>
  <Paragraphs>3</Paragraphs>
  <TotalTime>1</TotalTime>
  <ScaleCrop>false</ScaleCrop>
  <LinksUpToDate>false</LinksUpToDate>
  <CharactersWithSpaces>49634</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尚云环境</dc:creator>
  <cp:lastModifiedBy>D</cp:lastModifiedBy>
  <cp:lastPrinted>2020-12-29T02:43:00Z</cp:lastPrinted>
  <dcterms:modified xsi:type="dcterms:W3CDTF">2024-11-25T01:58:42Z</dcterms:modified>
  <dc:title>建设项目环境影响报告表（污染影响类）</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29E96E0DE509422F9DE26DE3B268AE73_13</vt:lpwstr>
  </property>
</Properties>
</file>