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45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1680"/>
        <w:gridCol w:w="5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9450" w:type="dxa"/>
            <w:gridSpan w:val="3"/>
            <w:tcBorders>
              <w:top w:val="nil"/>
              <w:left w:val="nil"/>
              <w:bottom w:val="single" w:color="auto" w:sz="4" w:space="0"/>
              <w:right w:val="nil"/>
            </w:tcBorders>
          </w:tcPr>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kern w:val="0"/>
                <w:sz w:val="44"/>
                <w:szCs w:val="44"/>
                <w:lang w:val="en-US" w:eastAsia="zh-CN" w:bidi="ar"/>
              </w:rPr>
            </w:pPr>
            <w:r>
              <w:rPr>
                <w:rFonts w:hint="eastAsia" w:ascii="方正小标宋简体" w:hAnsi="方正小标宋简体" w:eastAsia="方正小标宋简体" w:cs="方正小标宋简体"/>
                <w:b/>
                <w:bCs/>
                <w:color w:val="000000"/>
                <w:kern w:val="0"/>
                <w:sz w:val="44"/>
                <w:szCs w:val="44"/>
                <w:lang w:val="en-US" w:eastAsia="zh-CN" w:bidi="ar"/>
              </w:rPr>
              <w:t>沣西新城自然人全生命周期“一件事一次办”</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宋体"/>
                <w:color w:val="333333"/>
                <w:kern w:val="0"/>
                <w:sz w:val="32"/>
                <w:szCs w:val="32"/>
                <w:vertAlign w:val="baseline"/>
                <w:lang w:eastAsia="zh-CN"/>
              </w:rPr>
            </w:pPr>
            <w:r>
              <w:rPr>
                <w:rFonts w:hint="eastAsia" w:ascii="方正小标宋简体" w:hAnsi="方正小标宋简体" w:eastAsia="方正小标宋简体" w:cs="方正小标宋简体"/>
                <w:b/>
                <w:bCs/>
                <w:color w:val="000000"/>
                <w:kern w:val="0"/>
                <w:sz w:val="44"/>
                <w:szCs w:val="44"/>
                <w:lang w:val="en-US" w:eastAsia="zh-CN" w:bidi="ar"/>
              </w:rPr>
              <w:t>申报程序采购明细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450" w:type="dxa"/>
            <w:gridSpan w:val="3"/>
            <w:tcBorders>
              <w:top w:val="single" w:color="auto" w:sz="4" w:space="0"/>
            </w:tcBorders>
          </w:tcPr>
          <w:p>
            <w:pPr>
              <w:widowControl/>
              <w:numPr>
                <w:ilvl w:val="0"/>
                <w:numId w:val="0"/>
              </w:numPr>
              <w:jc w:val="left"/>
              <w:rPr>
                <w:rFonts w:hint="eastAsia" w:ascii="黑体" w:hAnsi="黑体" w:eastAsia="黑体" w:cs="宋体"/>
                <w:color w:val="333333"/>
                <w:kern w:val="0"/>
                <w:sz w:val="32"/>
                <w:szCs w:val="32"/>
                <w:vertAlign w:val="baseline"/>
              </w:rPr>
            </w:pPr>
            <w:r>
              <w:rPr>
                <w:rFonts w:hint="eastAsia" w:ascii="宋体" w:hAnsi="宋体" w:eastAsia="宋体" w:cs="宋体"/>
                <w:color w:val="000000"/>
                <w:kern w:val="0"/>
                <w:sz w:val="28"/>
                <w:szCs w:val="28"/>
                <w:lang w:val="en-US" w:eastAsia="zh-CN" w:bidi="ar"/>
              </w:rPr>
              <w:t>一、项目开发周期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450" w:type="dxa"/>
            <w:gridSpan w:val="3"/>
          </w:tcPr>
          <w:p>
            <w:pPr>
              <w:widowControl/>
              <w:numPr>
                <w:ilvl w:val="0"/>
                <w:numId w:val="0"/>
              </w:numPr>
              <w:jc w:val="left"/>
              <w:rPr>
                <w:rFonts w:hint="default" w:ascii="黑体" w:hAnsi="黑体" w:eastAsia="黑体" w:cs="宋体"/>
                <w:color w:val="333333"/>
                <w:kern w:val="0"/>
                <w:sz w:val="32"/>
                <w:szCs w:val="32"/>
                <w:vertAlign w:val="baseline"/>
                <w:lang w:val="en-US" w:eastAsia="zh-CN"/>
              </w:rPr>
            </w:pPr>
            <w:r>
              <w:rPr>
                <w:rFonts w:hint="eastAsia" w:ascii="Times New Roman" w:hAnsi="Times New Roman" w:eastAsia="宋体" w:cs="Times New Roman"/>
                <w:kern w:val="0"/>
                <w:sz w:val="24"/>
                <w:szCs w:val="24"/>
                <w:lang w:eastAsia="zh-CN"/>
              </w:rPr>
              <w:t>整个项目开发周期须控制在</w:t>
            </w:r>
            <w:r>
              <w:rPr>
                <w:rFonts w:hint="eastAsia" w:ascii="Times New Roman" w:hAnsi="Times New Roman" w:eastAsia="宋体" w:cs="Times New Roman"/>
                <w:kern w:val="0"/>
                <w:sz w:val="24"/>
                <w:szCs w:val="24"/>
                <w:lang w:val="en-US" w:eastAsia="zh-CN"/>
              </w:rPr>
              <w:t>30个工作日内完成。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450" w:type="dxa"/>
            <w:gridSpan w:val="3"/>
          </w:tcPr>
          <w:p>
            <w:pPr>
              <w:widowControl/>
              <w:numPr>
                <w:ilvl w:val="0"/>
                <w:numId w:val="0"/>
              </w:numPr>
              <w:jc w:val="left"/>
              <w:rPr>
                <w:rFonts w:hint="eastAsia" w:ascii="Times New Roman" w:hAnsi="Times New Roman" w:eastAsia="宋体" w:cs="Times New Roman"/>
                <w:kern w:val="0"/>
                <w:sz w:val="24"/>
                <w:szCs w:val="24"/>
                <w:lang w:eastAsia="zh-CN"/>
              </w:rPr>
            </w:pPr>
            <w:r>
              <w:rPr>
                <w:rFonts w:hint="eastAsia" w:ascii="宋体" w:hAnsi="宋体" w:eastAsia="宋体" w:cs="宋体"/>
                <w:color w:val="000000"/>
                <w:kern w:val="0"/>
                <w:sz w:val="28"/>
                <w:szCs w:val="28"/>
                <w:lang w:val="en-US" w:eastAsia="zh-CN" w:bidi="ar"/>
              </w:rPr>
              <w:t>二、项目开发要求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450" w:type="dxa"/>
            <w:gridSpan w:val="3"/>
          </w:tcPr>
          <w:p>
            <w:pPr>
              <w:widowControl/>
              <w:numPr>
                <w:ilvl w:val="0"/>
                <w:numId w:val="0"/>
              </w:numPr>
              <w:jc w:val="left"/>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自然人一件事一次办”移动用户端系统应建立在一个合理、开放和基于标准化的应用开发平台上，在平台上建立各应用系统，而且可以根据不同业务需求逐步完善和覆盖所有自然人业务领域。行政审批系统应用架构通过设定好的业务规则，实现审批事项的网上流转，网上审批，将互联网信息技术同标准化流程相结合，为政务主管部门提供一个高效便捷的电子政务移动用户端系统，有效提高主管部门的公共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0" w:type="dxa"/>
            <w:gridSpan w:val="3"/>
          </w:tcPr>
          <w:p>
            <w:pPr>
              <w:widowControl/>
              <w:numPr>
                <w:ilvl w:val="0"/>
                <w:numId w:val="0"/>
              </w:numPr>
              <w:jc w:val="left"/>
              <w:rPr>
                <w:rFonts w:hint="eastAsia" w:ascii="黑体" w:hAnsi="黑体" w:eastAsia="黑体" w:cs="宋体"/>
                <w:color w:val="333333"/>
                <w:kern w:val="0"/>
                <w:sz w:val="32"/>
                <w:szCs w:val="32"/>
                <w:vertAlign w:val="baseline"/>
              </w:rPr>
            </w:pPr>
            <w:r>
              <w:rPr>
                <w:rFonts w:hint="eastAsia" w:ascii="宋体" w:hAnsi="宋体" w:eastAsia="宋体" w:cs="宋体"/>
                <w:color w:val="000000"/>
                <w:kern w:val="0"/>
                <w:sz w:val="28"/>
                <w:szCs w:val="28"/>
                <w:lang w:val="en-US" w:eastAsia="zh-CN" w:bidi="ar"/>
              </w:rPr>
              <w:t>三、开发具体模块及功能需求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055" w:type="dxa"/>
          </w:tcPr>
          <w:p>
            <w:pPr>
              <w:widowControl/>
              <w:numPr>
                <w:ilvl w:val="0"/>
                <w:numId w:val="0"/>
              </w:numPr>
              <w:ind w:firstLine="240" w:firstLineChars="100"/>
              <w:jc w:val="both"/>
              <w:rPr>
                <w:rFonts w:hint="eastAsia" w:ascii="黑体" w:hAnsi="黑体" w:eastAsia="黑体" w:cs="宋体"/>
                <w:color w:val="333333"/>
                <w:kern w:val="0"/>
                <w:sz w:val="32"/>
                <w:szCs w:val="32"/>
                <w:vertAlign w:val="baseline"/>
                <w:lang w:eastAsia="zh-CN"/>
              </w:rPr>
            </w:pPr>
            <w:r>
              <w:rPr>
                <w:rFonts w:hint="eastAsia" w:ascii="Times New Roman" w:hAnsi="Times New Roman" w:eastAsia="宋体" w:cs="Times New Roman"/>
                <w:kern w:val="0"/>
                <w:sz w:val="24"/>
                <w:szCs w:val="24"/>
                <w:lang w:eastAsia="zh-CN"/>
              </w:rPr>
              <w:t>客户端</w:t>
            </w:r>
          </w:p>
        </w:tc>
        <w:tc>
          <w:tcPr>
            <w:tcW w:w="1680" w:type="dxa"/>
          </w:tcPr>
          <w:p>
            <w:pPr>
              <w:widowControl/>
              <w:numPr>
                <w:ilvl w:val="0"/>
                <w:numId w:val="0"/>
              </w:numPr>
              <w:jc w:val="center"/>
              <w:rPr>
                <w:rFonts w:hint="eastAsia" w:ascii="黑体" w:hAnsi="黑体" w:eastAsia="黑体" w:cs="宋体"/>
                <w:color w:val="333333"/>
                <w:kern w:val="0"/>
                <w:sz w:val="32"/>
                <w:szCs w:val="32"/>
                <w:vertAlign w:val="baseline"/>
                <w:lang w:eastAsia="zh-CN"/>
              </w:rPr>
            </w:pPr>
            <w:r>
              <w:rPr>
                <w:rFonts w:hint="eastAsia" w:ascii="Times New Roman" w:hAnsi="Times New Roman" w:eastAsia="宋体" w:cs="Times New Roman"/>
                <w:kern w:val="0"/>
                <w:sz w:val="24"/>
                <w:szCs w:val="24"/>
                <w:lang w:eastAsia="zh-CN"/>
              </w:rPr>
              <w:t>业务模块</w:t>
            </w:r>
          </w:p>
        </w:tc>
        <w:tc>
          <w:tcPr>
            <w:tcW w:w="5715" w:type="dxa"/>
          </w:tcPr>
          <w:p>
            <w:pPr>
              <w:widowControl/>
              <w:numPr>
                <w:ilvl w:val="0"/>
                <w:numId w:val="0"/>
              </w:numPr>
              <w:jc w:val="center"/>
              <w:rPr>
                <w:rFonts w:hint="eastAsia" w:ascii="黑体" w:hAnsi="黑体" w:eastAsia="黑体" w:cs="宋体"/>
                <w:color w:val="333333"/>
                <w:kern w:val="0"/>
                <w:sz w:val="32"/>
                <w:szCs w:val="32"/>
                <w:vertAlign w:val="baseline"/>
                <w:lang w:eastAsia="zh-CN"/>
              </w:rPr>
            </w:pPr>
            <w:r>
              <w:rPr>
                <w:rFonts w:hint="eastAsia" w:ascii="Times New Roman" w:hAnsi="Times New Roman" w:eastAsia="宋体" w:cs="Times New Roman"/>
                <w:kern w:val="0"/>
                <w:sz w:val="24"/>
                <w:szCs w:val="24"/>
                <w:lang w:eastAsia="zh-CN"/>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055" w:type="dxa"/>
            <w:vMerge w:val="restart"/>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移动用户端 (h5或者小程序)</w:t>
            </w:r>
          </w:p>
          <w:p>
            <w:pPr>
              <w:widowControl/>
              <w:numPr>
                <w:ilvl w:val="0"/>
                <w:numId w:val="0"/>
              </w:numPr>
              <w:jc w:val="left"/>
              <w:rPr>
                <w:rFonts w:hint="eastAsia" w:ascii="黑体" w:hAnsi="黑体" w:eastAsia="黑体" w:cs="宋体"/>
                <w:color w:val="333333"/>
                <w:kern w:val="0"/>
                <w:sz w:val="32"/>
                <w:szCs w:val="32"/>
                <w:vertAlign w:val="baseline"/>
                <w:lang w:eastAsia="zh-CN"/>
              </w:rPr>
            </w:pPr>
          </w:p>
        </w:tc>
        <w:tc>
          <w:tcPr>
            <w:tcW w:w="1680" w:type="dxa"/>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Times New Roman" w:hAnsi="Times New Roman" w:eastAsia="宋体" w:cs="Times New Roman"/>
                <w:kern w:val="0"/>
                <w:sz w:val="24"/>
                <w:szCs w:val="24"/>
                <w:lang w:eastAsia="zh-CN"/>
              </w:rPr>
            </w:pPr>
            <w:r>
              <w:rPr>
                <w:rFonts w:hint="eastAsia" w:ascii="宋体" w:hAnsi="宋体" w:eastAsia="宋体" w:cs="宋体"/>
                <w:color w:val="000000"/>
                <w:kern w:val="0"/>
                <w:sz w:val="24"/>
                <w:szCs w:val="24"/>
                <w:lang w:val="en-US" w:eastAsia="zh-CN" w:bidi="ar"/>
              </w:rPr>
              <w:t>个人信息认证</w:t>
            </w:r>
          </w:p>
        </w:tc>
        <w:tc>
          <w:tcPr>
            <w:tcW w:w="5715" w:type="dxa"/>
          </w:tcPr>
          <w:p>
            <w:pPr>
              <w:keepNext w:val="0"/>
              <w:keepLines w:val="0"/>
              <w:widowControl/>
              <w:suppressLineNumbers w:val="0"/>
              <w:jc w:val="left"/>
              <w:rPr>
                <w:rFonts w:hint="eastAsia" w:ascii="黑体" w:hAnsi="黑体" w:eastAsia="黑体" w:cs="宋体"/>
                <w:color w:val="333333"/>
                <w:kern w:val="0"/>
                <w:sz w:val="32"/>
                <w:szCs w:val="32"/>
                <w:vertAlign w:val="baseline"/>
              </w:rPr>
            </w:pPr>
            <w:r>
              <w:rPr>
                <w:rFonts w:hint="eastAsia" w:ascii="Times New Roman" w:hAnsi="Times New Roman" w:eastAsia="宋体" w:cs="Times New Roman"/>
                <w:kern w:val="0"/>
                <w:sz w:val="24"/>
                <w:szCs w:val="24"/>
                <w:lang w:eastAsia="zh-CN"/>
              </w:rPr>
              <w:t>须支持手机号注册，手机验证码登录，</w:t>
            </w:r>
            <w:r>
              <w:rPr>
                <w:rFonts w:hint="eastAsia" w:ascii="宋体" w:hAnsi="宋体" w:eastAsia="宋体" w:cs="宋体"/>
                <w:color w:val="000000"/>
                <w:kern w:val="0"/>
                <w:sz w:val="24"/>
                <w:szCs w:val="24"/>
                <w:lang w:val="en-US" w:eastAsia="zh-CN" w:bidi="ar"/>
              </w:rPr>
              <w:t>账号密码登陆，微信登陆功能；可接入第三方实名认证平台，进行身份证信息认证；支持密码找回，以及旧密码找回功能。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55" w:type="dxa"/>
            <w:vMerge w:val="continue"/>
          </w:tcPr>
          <w:p>
            <w:pPr>
              <w:widowControl/>
              <w:numPr>
                <w:ilvl w:val="0"/>
                <w:numId w:val="0"/>
              </w:numPr>
              <w:jc w:val="left"/>
              <w:rPr>
                <w:rFonts w:hint="eastAsia" w:ascii="黑体" w:hAnsi="黑体" w:eastAsia="黑体" w:cs="宋体"/>
                <w:color w:val="333333"/>
                <w:kern w:val="0"/>
                <w:sz w:val="32"/>
                <w:szCs w:val="32"/>
                <w:vertAlign w:val="baseline"/>
              </w:rPr>
            </w:pPr>
          </w:p>
        </w:tc>
        <w:tc>
          <w:tcPr>
            <w:tcW w:w="1680" w:type="dxa"/>
          </w:tcPr>
          <w:p>
            <w:pPr>
              <w:widowControl/>
              <w:numPr>
                <w:ilvl w:val="0"/>
                <w:numId w:val="0"/>
              </w:numPr>
              <w:jc w:val="left"/>
              <w:rPr>
                <w:rFonts w:hint="eastAsia" w:ascii="Times New Roman" w:hAnsi="Times New Roman" w:eastAsia="宋体" w:cs="Times New Roman"/>
                <w:kern w:val="0"/>
                <w:sz w:val="24"/>
                <w:szCs w:val="24"/>
                <w:lang w:eastAsia="zh-CN"/>
              </w:rPr>
            </w:pPr>
          </w:p>
          <w:p>
            <w:pPr>
              <w:widowControl/>
              <w:numPr>
                <w:ilvl w:val="0"/>
                <w:numId w:val="0"/>
              </w:numPr>
              <w:ind w:firstLine="240" w:firstLineChars="100"/>
              <w:jc w:val="both"/>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个人中心</w:t>
            </w:r>
          </w:p>
        </w:tc>
        <w:tc>
          <w:tcPr>
            <w:tcW w:w="5715" w:type="dxa"/>
          </w:tcPr>
          <w:p>
            <w:pPr>
              <w:widowControl/>
              <w:numPr>
                <w:ilvl w:val="0"/>
                <w:numId w:val="0"/>
              </w:numPr>
              <w:jc w:val="left"/>
              <w:rPr>
                <w:rFonts w:hint="eastAsia" w:ascii="黑体" w:hAnsi="黑体" w:eastAsia="黑体" w:cs="宋体"/>
                <w:color w:val="333333"/>
                <w:kern w:val="0"/>
                <w:sz w:val="32"/>
                <w:szCs w:val="32"/>
                <w:vertAlign w:val="baseline"/>
              </w:rPr>
            </w:pPr>
            <w:r>
              <w:rPr>
                <w:rFonts w:hint="eastAsia" w:ascii="Times New Roman" w:hAnsi="Times New Roman" w:eastAsia="宋体" w:cs="Times New Roman"/>
                <w:kern w:val="0"/>
                <w:sz w:val="24"/>
                <w:szCs w:val="24"/>
                <w:lang w:eastAsia="zh-CN"/>
              </w:rPr>
              <w:t>支持对个人实名信息，手机号，微信号的查看功能；用户之前提交的任务进度查看并可进入操作；</w:t>
            </w:r>
            <w:r>
              <w:rPr>
                <w:rFonts w:hint="eastAsia" w:ascii="宋体" w:hAnsi="宋体" w:eastAsia="宋体" w:cs="宋体"/>
                <w:color w:val="000000"/>
                <w:kern w:val="0"/>
                <w:sz w:val="24"/>
                <w:szCs w:val="24"/>
                <w:lang w:val="en-US" w:eastAsia="zh-CN" w:bidi="ar"/>
              </w:rPr>
              <w:t>展示办理该业务的流程及需准备资料告知。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55" w:type="dxa"/>
            <w:vMerge w:val="continue"/>
          </w:tcPr>
          <w:p>
            <w:pPr>
              <w:widowControl/>
              <w:numPr>
                <w:ilvl w:val="0"/>
                <w:numId w:val="0"/>
              </w:numPr>
              <w:jc w:val="left"/>
              <w:rPr>
                <w:rFonts w:hint="eastAsia" w:ascii="黑体" w:hAnsi="黑体" w:eastAsia="黑体" w:cs="宋体"/>
                <w:color w:val="333333"/>
                <w:kern w:val="0"/>
                <w:sz w:val="32"/>
                <w:szCs w:val="32"/>
                <w:vertAlign w:val="baseline"/>
              </w:rPr>
            </w:pPr>
          </w:p>
        </w:tc>
        <w:tc>
          <w:tcPr>
            <w:tcW w:w="1680" w:type="dxa"/>
          </w:tcPr>
          <w:p>
            <w:pPr>
              <w:widowControl/>
              <w:numPr>
                <w:ilvl w:val="0"/>
                <w:numId w:val="0"/>
              </w:numPr>
              <w:jc w:val="left"/>
              <w:rPr>
                <w:rFonts w:hint="eastAsia" w:ascii="Times New Roman" w:hAnsi="Times New Roman" w:eastAsia="宋体" w:cs="Times New Roman"/>
                <w:kern w:val="0"/>
                <w:sz w:val="24"/>
                <w:szCs w:val="24"/>
                <w:lang w:eastAsia="zh-CN"/>
              </w:rPr>
            </w:pPr>
          </w:p>
          <w:p>
            <w:pPr>
              <w:widowControl/>
              <w:numPr>
                <w:ilvl w:val="0"/>
                <w:numId w:val="0"/>
              </w:numPr>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自然人套餐办事流程</w:t>
            </w:r>
          </w:p>
        </w:tc>
        <w:tc>
          <w:tcPr>
            <w:tcW w:w="5715" w:type="dxa"/>
          </w:tcPr>
          <w:p>
            <w:pPr>
              <w:widowControl/>
              <w:numPr>
                <w:ilvl w:val="0"/>
                <w:numId w:val="0"/>
              </w:numPr>
              <w:jc w:val="left"/>
              <w:rPr>
                <w:rFonts w:hint="eastAsia" w:ascii="黑体" w:hAnsi="黑体" w:eastAsia="黑体" w:cs="宋体"/>
                <w:color w:val="333333"/>
                <w:kern w:val="0"/>
                <w:sz w:val="32"/>
                <w:szCs w:val="32"/>
                <w:vertAlign w:val="baseline"/>
              </w:rPr>
            </w:pPr>
            <w:r>
              <w:rPr>
                <w:rFonts w:hint="eastAsia" w:ascii="Times New Roman" w:hAnsi="Times New Roman" w:eastAsia="宋体" w:cs="Times New Roman"/>
                <w:kern w:val="0"/>
                <w:sz w:val="24"/>
                <w:szCs w:val="24"/>
                <w:lang w:eastAsia="zh-CN"/>
              </w:rPr>
              <w:t>样表资料的展示及用户资料的上传功能；</w:t>
            </w:r>
            <w:r>
              <w:rPr>
                <w:rFonts w:hint="eastAsia" w:ascii="宋体" w:hAnsi="宋体" w:eastAsia="宋体" w:cs="宋体"/>
                <w:color w:val="000000"/>
                <w:kern w:val="0"/>
                <w:sz w:val="24"/>
                <w:szCs w:val="24"/>
                <w:lang w:val="en-US" w:eastAsia="zh-CN" w:bidi="ar"/>
              </w:rPr>
              <w:t>对于用户选择不同的表单组合不同的表单，填写组合出的表单并提交。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055" w:type="dxa"/>
            <w:vMerge w:val="continue"/>
          </w:tcPr>
          <w:p>
            <w:pPr>
              <w:widowControl/>
              <w:numPr>
                <w:ilvl w:val="0"/>
                <w:numId w:val="0"/>
              </w:numPr>
              <w:jc w:val="left"/>
              <w:rPr>
                <w:rFonts w:hint="eastAsia" w:ascii="黑体" w:hAnsi="黑体" w:eastAsia="黑体" w:cs="宋体"/>
                <w:color w:val="333333"/>
                <w:kern w:val="0"/>
                <w:sz w:val="32"/>
                <w:szCs w:val="32"/>
                <w:vertAlign w:val="baseline"/>
              </w:rPr>
            </w:pPr>
          </w:p>
        </w:tc>
        <w:tc>
          <w:tcPr>
            <w:tcW w:w="1680" w:type="dxa"/>
          </w:tcPr>
          <w:p>
            <w:pPr>
              <w:widowControl/>
              <w:numPr>
                <w:ilvl w:val="0"/>
                <w:numId w:val="0"/>
              </w:numPr>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首页</w:t>
            </w:r>
          </w:p>
        </w:tc>
        <w:tc>
          <w:tcPr>
            <w:tcW w:w="5715" w:type="dxa"/>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banner展示、公告展示及首页整体布局。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55" w:type="dxa"/>
            <w:vMerge w:val="restart"/>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小程序管理端</w:t>
            </w:r>
          </w:p>
          <w:p>
            <w:pPr>
              <w:widowControl/>
              <w:numPr>
                <w:ilvl w:val="0"/>
                <w:numId w:val="0"/>
              </w:numPr>
              <w:jc w:val="left"/>
              <w:rPr>
                <w:rFonts w:hint="eastAsia" w:ascii="黑体" w:hAnsi="黑体" w:eastAsia="黑体" w:cs="宋体"/>
                <w:color w:val="333333"/>
                <w:kern w:val="0"/>
                <w:sz w:val="32"/>
                <w:szCs w:val="32"/>
                <w:vertAlign w:val="baseline"/>
              </w:rPr>
            </w:pPr>
          </w:p>
        </w:tc>
        <w:tc>
          <w:tcPr>
            <w:tcW w:w="1680" w:type="dxa"/>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240" w:firstLineChars="100"/>
              <w:jc w:val="both"/>
            </w:pPr>
            <w:r>
              <w:rPr>
                <w:rFonts w:hint="eastAsia" w:ascii="宋体" w:hAnsi="宋体" w:eastAsia="宋体" w:cs="宋体"/>
                <w:color w:val="000000"/>
                <w:kern w:val="0"/>
                <w:sz w:val="24"/>
                <w:szCs w:val="24"/>
                <w:lang w:val="en-US" w:eastAsia="zh-CN" w:bidi="ar"/>
              </w:rPr>
              <w:t>系统管理</w:t>
            </w:r>
          </w:p>
          <w:p>
            <w:pPr>
              <w:widowControl/>
              <w:numPr>
                <w:ilvl w:val="0"/>
                <w:numId w:val="0"/>
              </w:numPr>
              <w:jc w:val="left"/>
              <w:rPr>
                <w:rFonts w:hint="eastAsia" w:ascii="Times New Roman" w:hAnsi="Times New Roman" w:eastAsia="宋体" w:cs="Times New Roman"/>
                <w:kern w:val="0"/>
                <w:sz w:val="24"/>
                <w:szCs w:val="24"/>
                <w:lang w:eastAsia="zh-CN"/>
              </w:rPr>
            </w:pPr>
          </w:p>
        </w:tc>
        <w:tc>
          <w:tcPr>
            <w:tcW w:w="5715" w:type="dxa"/>
          </w:tcPr>
          <w:p>
            <w:pPr>
              <w:keepNext w:val="0"/>
              <w:keepLines w:val="0"/>
              <w:widowControl/>
              <w:suppressLineNumbers w:val="0"/>
              <w:jc w:val="left"/>
              <w:rPr>
                <w:rFonts w:hint="eastAsia" w:ascii="黑体" w:hAnsi="黑体" w:eastAsia="黑体" w:cs="宋体"/>
                <w:color w:val="333333"/>
                <w:kern w:val="0"/>
                <w:sz w:val="32"/>
                <w:szCs w:val="32"/>
                <w:vertAlign w:val="baseline"/>
              </w:rPr>
            </w:pPr>
            <w:r>
              <w:rPr>
                <w:rFonts w:hint="eastAsia" w:ascii="宋体" w:hAnsi="宋体" w:eastAsia="宋体" w:cs="宋体"/>
                <w:color w:val="000000"/>
                <w:kern w:val="0"/>
                <w:sz w:val="24"/>
                <w:szCs w:val="24"/>
                <w:lang w:val="en-US" w:eastAsia="zh-CN" w:bidi="ar"/>
              </w:rPr>
              <w:t>可对后台中存在的菜单，按钮进行配置；可对后台用户组织结构进行配置，支持数据权限，上级可以查看下级数据，下级不能查看上级数据；可对后台中的用户角色进行配置</w:t>
            </w:r>
            <w:r>
              <w:rPr>
                <w:rFonts w:hint="eastAsia"/>
                <w:lang w:eastAsia="zh-CN"/>
              </w:rPr>
              <w:t>；可</w:t>
            </w:r>
            <w:r>
              <w:rPr>
                <w:rFonts w:hint="eastAsia" w:ascii="宋体" w:hAnsi="宋体" w:eastAsia="宋体" w:cs="宋体"/>
                <w:color w:val="000000"/>
                <w:kern w:val="0"/>
                <w:sz w:val="24"/>
                <w:szCs w:val="24"/>
                <w:lang w:val="en-US" w:eastAsia="zh-CN" w:bidi="ar"/>
              </w:rPr>
              <w:t>对后台的用户进行管理，重置密码；可查看系统中的登陆日志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55" w:type="dxa"/>
            <w:vMerge w:val="continue"/>
          </w:tcPr>
          <w:p>
            <w:pPr>
              <w:widowControl/>
              <w:numPr>
                <w:ilvl w:val="0"/>
                <w:numId w:val="0"/>
              </w:numPr>
              <w:jc w:val="left"/>
              <w:rPr>
                <w:rFonts w:hint="eastAsia" w:ascii="黑体" w:hAnsi="黑体" w:eastAsia="黑体" w:cs="宋体"/>
                <w:color w:val="333333"/>
                <w:kern w:val="0"/>
                <w:sz w:val="32"/>
                <w:szCs w:val="32"/>
                <w:vertAlign w:val="baseline"/>
              </w:rPr>
            </w:pPr>
          </w:p>
        </w:tc>
        <w:tc>
          <w:tcPr>
            <w:tcW w:w="1680" w:type="dxa"/>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系统配置</w:t>
            </w:r>
          </w:p>
          <w:p>
            <w:pPr>
              <w:widowControl/>
              <w:numPr>
                <w:ilvl w:val="0"/>
                <w:numId w:val="0"/>
              </w:numPr>
              <w:jc w:val="left"/>
              <w:rPr>
                <w:rFonts w:hint="eastAsia" w:ascii="Times New Roman" w:hAnsi="Times New Roman" w:eastAsia="宋体" w:cs="Times New Roman"/>
                <w:kern w:val="0"/>
                <w:sz w:val="24"/>
                <w:szCs w:val="24"/>
                <w:lang w:eastAsia="zh-CN"/>
              </w:rPr>
            </w:pPr>
          </w:p>
        </w:tc>
        <w:tc>
          <w:tcPr>
            <w:tcW w:w="5715" w:type="dxa"/>
          </w:tcPr>
          <w:p>
            <w:pPr>
              <w:keepNext w:val="0"/>
              <w:keepLines w:val="0"/>
              <w:widowControl/>
              <w:suppressLineNumbers w:val="0"/>
              <w:jc w:val="left"/>
              <w:rPr>
                <w:rFonts w:hint="eastAsia" w:ascii="黑体" w:hAnsi="黑体" w:eastAsia="黑体" w:cs="宋体"/>
                <w:color w:val="333333"/>
                <w:kern w:val="0"/>
                <w:sz w:val="32"/>
                <w:szCs w:val="32"/>
                <w:vertAlign w:val="baseline"/>
              </w:rPr>
            </w:pPr>
            <w:r>
              <w:rPr>
                <w:rFonts w:hint="eastAsia" w:ascii="宋体" w:hAnsi="宋体" w:eastAsia="宋体" w:cs="宋体"/>
                <w:color w:val="000000"/>
                <w:kern w:val="0"/>
                <w:sz w:val="24"/>
                <w:szCs w:val="24"/>
                <w:lang w:val="en-US" w:eastAsia="zh-CN" w:bidi="ar"/>
              </w:rPr>
              <w:t>可对套餐内的事件进行配置，并根据事件的不同对于上传的资料以及样表进行配置；可根据事件对于表单内容进行配置管理；可对用户端展示的新闻资讯及banner图进行配置管理。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055" w:type="dxa"/>
            <w:vMerge w:val="continue"/>
          </w:tcPr>
          <w:p>
            <w:pPr>
              <w:widowControl/>
              <w:numPr>
                <w:ilvl w:val="0"/>
                <w:numId w:val="0"/>
              </w:numPr>
              <w:jc w:val="left"/>
              <w:rPr>
                <w:rFonts w:hint="eastAsia" w:ascii="黑体" w:hAnsi="黑体" w:eastAsia="黑体" w:cs="宋体"/>
                <w:color w:val="333333"/>
                <w:kern w:val="0"/>
                <w:sz w:val="32"/>
                <w:szCs w:val="32"/>
                <w:vertAlign w:val="baseline"/>
              </w:rPr>
            </w:pPr>
          </w:p>
        </w:tc>
        <w:tc>
          <w:tcPr>
            <w:tcW w:w="1680" w:type="dxa"/>
          </w:tcPr>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用户</w:t>
            </w:r>
          </w:p>
          <w:p>
            <w:pPr>
              <w:widowControl/>
              <w:numPr>
                <w:ilvl w:val="0"/>
                <w:numId w:val="0"/>
              </w:numPr>
              <w:jc w:val="left"/>
              <w:rPr>
                <w:rFonts w:hint="eastAsia" w:ascii="Times New Roman" w:hAnsi="Times New Roman" w:eastAsia="宋体" w:cs="Times New Roman"/>
                <w:kern w:val="0"/>
                <w:sz w:val="24"/>
                <w:szCs w:val="24"/>
                <w:lang w:eastAsia="zh-CN"/>
              </w:rPr>
            </w:pPr>
          </w:p>
        </w:tc>
        <w:tc>
          <w:tcPr>
            <w:tcW w:w="5715" w:type="dxa"/>
          </w:tcPr>
          <w:p>
            <w:pPr>
              <w:keepNext w:val="0"/>
              <w:keepLines w:val="0"/>
              <w:widowControl/>
              <w:suppressLineNumbers w:val="0"/>
              <w:jc w:val="left"/>
              <w:rPr>
                <w:rFonts w:hint="eastAsia" w:ascii="黑体" w:hAnsi="黑体" w:eastAsia="黑体" w:cs="宋体"/>
                <w:color w:val="333333"/>
                <w:kern w:val="0"/>
                <w:sz w:val="32"/>
                <w:szCs w:val="32"/>
                <w:vertAlign w:val="baseline"/>
              </w:rPr>
            </w:pPr>
            <w:r>
              <w:rPr>
                <w:rFonts w:hint="eastAsia" w:ascii="宋体" w:hAnsi="宋体" w:eastAsia="宋体" w:cs="宋体"/>
                <w:color w:val="000000"/>
                <w:kern w:val="0"/>
                <w:sz w:val="24"/>
                <w:szCs w:val="24"/>
                <w:lang w:val="en-US" w:eastAsia="zh-CN" w:bidi="ar"/>
              </w:rPr>
              <w:t>可对用户端注册的用户信息查询并通过多个纬度对用户数据进行统计分析。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55" w:type="dxa"/>
            <w:vMerge w:val="continue"/>
          </w:tcPr>
          <w:p>
            <w:pPr>
              <w:widowControl/>
              <w:numPr>
                <w:ilvl w:val="0"/>
                <w:numId w:val="0"/>
              </w:numPr>
              <w:jc w:val="left"/>
              <w:rPr>
                <w:rFonts w:hint="eastAsia" w:ascii="黑体" w:hAnsi="黑体" w:eastAsia="黑体" w:cs="宋体"/>
                <w:color w:val="333333"/>
                <w:kern w:val="0"/>
                <w:sz w:val="32"/>
                <w:szCs w:val="32"/>
                <w:vertAlign w:val="baseline"/>
              </w:rPr>
            </w:pPr>
          </w:p>
        </w:tc>
        <w:tc>
          <w:tcPr>
            <w:tcW w:w="1680" w:type="dxa"/>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240" w:firstLineChars="100"/>
              <w:jc w:val="left"/>
            </w:pPr>
            <w:r>
              <w:rPr>
                <w:rFonts w:hint="eastAsia" w:ascii="宋体" w:hAnsi="宋体" w:eastAsia="宋体" w:cs="宋体"/>
                <w:color w:val="000000"/>
                <w:kern w:val="0"/>
                <w:sz w:val="24"/>
                <w:szCs w:val="24"/>
                <w:lang w:val="en-US" w:eastAsia="zh-CN" w:bidi="ar"/>
              </w:rPr>
              <w:t>资料审批</w:t>
            </w:r>
          </w:p>
          <w:p>
            <w:pPr>
              <w:widowControl/>
              <w:numPr>
                <w:ilvl w:val="0"/>
                <w:numId w:val="0"/>
              </w:numPr>
              <w:jc w:val="left"/>
              <w:rPr>
                <w:rFonts w:hint="eastAsia" w:ascii="Times New Roman" w:hAnsi="Times New Roman" w:eastAsia="宋体" w:cs="Times New Roman"/>
                <w:kern w:val="0"/>
                <w:sz w:val="24"/>
                <w:szCs w:val="24"/>
                <w:lang w:eastAsia="zh-CN"/>
              </w:rPr>
            </w:pPr>
          </w:p>
        </w:tc>
        <w:tc>
          <w:tcPr>
            <w:tcW w:w="5715" w:type="dxa"/>
          </w:tcPr>
          <w:p>
            <w:pPr>
              <w:keepNext w:val="0"/>
              <w:keepLines w:val="0"/>
              <w:widowControl/>
              <w:suppressLineNumbers w:val="0"/>
              <w:jc w:val="left"/>
              <w:rPr>
                <w:rFonts w:hint="eastAsia" w:ascii="黑体" w:hAnsi="黑体" w:eastAsia="黑体" w:cs="宋体"/>
                <w:color w:val="333333"/>
                <w:kern w:val="0"/>
                <w:sz w:val="32"/>
                <w:szCs w:val="32"/>
                <w:vertAlign w:val="baseline"/>
              </w:rPr>
            </w:pPr>
            <w:r>
              <w:rPr>
                <w:rFonts w:hint="eastAsia" w:ascii="宋体" w:hAnsi="宋体" w:eastAsia="宋体" w:cs="宋体"/>
                <w:color w:val="000000"/>
                <w:kern w:val="0"/>
                <w:sz w:val="24"/>
                <w:szCs w:val="24"/>
                <w:lang w:val="en-US" w:eastAsia="zh-CN" w:bidi="ar"/>
              </w:rPr>
              <w:t>可对上传资料，以及提交表单内容的审批，包括同意，驳回并对于资料审批数据多维度的进行统计。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55" w:type="dxa"/>
          </w:tcPr>
          <w:p>
            <w:pPr>
              <w:keepNext w:val="0"/>
              <w:keepLines w:val="0"/>
              <w:widowControl/>
              <w:suppressLineNumbers w:val="0"/>
              <w:jc w:val="center"/>
              <w:rPr>
                <w:rFonts w:hint="eastAsia" w:ascii="黑体" w:hAnsi="黑体" w:eastAsia="黑体" w:cs="宋体"/>
                <w:color w:val="333333"/>
                <w:kern w:val="0"/>
                <w:sz w:val="32"/>
                <w:szCs w:val="32"/>
                <w:vertAlign w:val="baseline"/>
              </w:rPr>
            </w:pPr>
            <w:r>
              <w:rPr>
                <w:rFonts w:hint="eastAsia" w:ascii="宋体" w:hAnsi="宋体" w:eastAsia="宋体" w:cs="宋体"/>
                <w:color w:val="000000"/>
                <w:kern w:val="0"/>
                <w:sz w:val="24"/>
                <w:szCs w:val="24"/>
                <w:lang w:val="en-US" w:eastAsia="zh-CN" w:bidi="ar"/>
              </w:rPr>
              <w:t>通用功能</w:t>
            </w:r>
          </w:p>
        </w:tc>
        <w:tc>
          <w:tcPr>
            <w:tcW w:w="1680" w:type="dxa"/>
          </w:tcPr>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安全备份</w:t>
            </w:r>
          </w:p>
          <w:p>
            <w:pPr>
              <w:widowControl/>
              <w:numPr>
                <w:ilvl w:val="0"/>
                <w:numId w:val="0"/>
              </w:numPr>
              <w:jc w:val="left"/>
              <w:rPr>
                <w:rFonts w:hint="eastAsia" w:ascii="Times New Roman" w:hAnsi="Times New Roman" w:eastAsia="宋体" w:cs="Times New Roman"/>
                <w:kern w:val="0"/>
                <w:sz w:val="24"/>
                <w:szCs w:val="24"/>
                <w:lang w:eastAsia="zh-CN"/>
              </w:rPr>
            </w:pPr>
          </w:p>
        </w:tc>
        <w:tc>
          <w:tcPr>
            <w:tcW w:w="5715" w:type="dxa"/>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数据库安全备份（双机热备，定时冷备）；常见SQL注入免疫常见XSS攻击免疫。</w:t>
            </w:r>
          </w:p>
        </w:tc>
      </w:tr>
    </w:tbl>
    <w:p>
      <w:pPr>
        <w:ind w:firstLine="640" w:firstLineChars="200"/>
        <w:rPr>
          <w:rFonts w:hint="eastAsia" w:ascii="仿宋_GB2312" w:hAnsi="Times New Roman" w:eastAsia="仿宋_GB2312" w:cs="Times New Roman"/>
          <w:color w:val="333333"/>
          <w:kern w:val="0"/>
          <w:sz w:val="32"/>
          <w:szCs w:val="32"/>
          <w:lang w:val="en-US" w:eastAsia="zh-CN"/>
        </w:rPr>
      </w:pPr>
      <w:bookmarkStart w:id="0" w:name="_GoBack"/>
      <w:bookmarkEnd w:id="0"/>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F4652"/>
    <w:rsid w:val="03270C50"/>
    <w:rsid w:val="138C44DD"/>
    <w:rsid w:val="15816824"/>
    <w:rsid w:val="1C026588"/>
    <w:rsid w:val="258336A4"/>
    <w:rsid w:val="300E6C7B"/>
    <w:rsid w:val="3A9571E4"/>
    <w:rsid w:val="3D7A376A"/>
    <w:rsid w:val="40595F02"/>
    <w:rsid w:val="411E19DA"/>
    <w:rsid w:val="4F9C3AC3"/>
    <w:rsid w:val="5D3B58B1"/>
    <w:rsid w:val="5E353C93"/>
    <w:rsid w:val="66BF4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2021-03-04T06:58:00Z</dcterms:created>
  <dc:creator>车</dc:creator>
  <cp:lastModifiedBy>邱红娜</cp:lastModifiedBy>
  <cp:lastPrinted>2021-03-08T07:05:05Z</cp:lastPrinted>
  <dcterms:modified xsi:type="dcterms:W3CDTF">2021-03-08T07:06:56Z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