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jc w:val="center"/>
        <w:rPr>
          <w:rFonts w:hint="eastAsia" w:ascii="黑体" w:hAnsi="黑体" w:eastAsia="黑体" w:cs="仿宋_GB2312"/>
          <w:color w:val="auto"/>
          <w:sz w:val="32"/>
          <w:szCs w:val="32"/>
        </w:rPr>
      </w:pPr>
      <w:r>
        <w:rPr>
          <w:rFonts w:hint="eastAsia" w:ascii="方正小标宋简体" w:hAnsi="方正小标宋简体" w:eastAsia="方正小标宋简体" w:cs="方正小标宋简体"/>
          <w:color w:val="auto"/>
          <w:sz w:val="32"/>
          <w:szCs w:val="32"/>
        </w:rPr>
        <w:t>2021年部门预算公开说明</w:t>
      </w:r>
    </w:p>
    <w:p>
      <w:pPr>
        <w:rPr>
          <w:rFonts w:hint="eastAsia" w:ascii="仿宋_GB2312" w:eastAsia="仿宋_GB2312"/>
          <w:color w:val="auto"/>
          <w:sz w:val="32"/>
          <w:szCs w:val="32"/>
        </w:rPr>
      </w:pPr>
    </w:p>
    <w:p>
      <w:pPr>
        <w:jc w:val="center"/>
        <w:rPr>
          <w:rFonts w:hint="eastAsia" w:ascii="仿宋_GB2312" w:eastAsia="仿宋_GB2312"/>
          <w:color w:val="auto"/>
          <w:sz w:val="32"/>
          <w:szCs w:val="32"/>
        </w:rPr>
      </w:pPr>
      <w:r>
        <w:rPr>
          <w:rFonts w:hint="eastAsia" w:ascii="仿宋_GB2312" w:eastAsia="仿宋_GB2312"/>
          <w:b/>
          <w:bCs/>
          <w:color w:val="auto"/>
          <w:sz w:val="32"/>
          <w:szCs w:val="32"/>
        </w:rPr>
        <w:t>目录</w:t>
      </w:r>
    </w:p>
    <w:p>
      <w:pPr>
        <w:jc w:val="left"/>
        <w:rPr>
          <w:rFonts w:hint="eastAsia" w:ascii="黑体" w:hAnsi="黑体" w:eastAsia="黑体" w:cs="黑体"/>
          <w:color w:val="auto"/>
          <w:sz w:val="32"/>
          <w:szCs w:val="32"/>
        </w:rPr>
      </w:pPr>
      <w:r>
        <w:rPr>
          <w:rFonts w:hint="eastAsia" w:ascii="黑体" w:hAnsi="黑体" w:eastAsia="黑体" w:cs="黑体"/>
          <w:b/>
          <w:bCs/>
          <w:color w:val="auto"/>
          <w:sz w:val="32"/>
          <w:szCs w:val="32"/>
        </w:rPr>
        <w:t>第一部分 部门概况</w:t>
      </w:r>
    </w:p>
    <w:p>
      <w:pPr>
        <w:jc w:val="left"/>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一、部门主要职责及机构设置</w:t>
      </w:r>
    </w:p>
    <w:p>
      <w:pPr>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二、2021年年度部门工作任务</w:t>
      </w:r>
    </w:p>
    <w:p>
      <w:pPr>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三、部门预算单位构成</w:t>
      </w:r>
    </w:p>
    <w:p>
      <w:pPr>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四、部门人员情况说明</w:t>
      </w:r>
    </w:p>
    <w:p>
      <w:pPr>
        <w:jc w:val="left"/>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第二部分 收支情况</w:t>
      </w:r>
    </w:p>
    <w:p>
      <w:pPr>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五、2021年部门预算收支说明</w:t>
      </w:r>
    </w:p>
    <w:p>
      <w:pPr>
        <w:jc w:val="left"/>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第三部分  其他说明情况</w:t>
      </w:r>
    </w:p>
    <w:p>
      <w:pPr>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六、部门预算“三公”经费等情况说明</w:t>
      </w:r>
    </w:p>
    <w:p>
      <w:pPr>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七、部门国有资产占有使用及资产购置情况说明</w:t>
      </w:r>
    </w:p>
    <w:p>
      <w:pPr>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八、部门政府采购情况说明</w:t>
      </w:r>
    </w:p>
    <w:p>
      <w:pPr>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九、部门预算绩效目标说明</w:t>
      </w:r>
    </w:p>
    <w:p>
      <w:pPr>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十、机关运行经费安排说明</w:t>
      </w:r>
    </w:p>
    <w:p>
      <w:pPr>
        <w:rPr>
          <w:rFonts w:hint="eastAsia"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十一、专业名词解释</w:t>
      </w:r>
    </w:p>
    <w:p>
      <w:pPr>
        <w:jc w:val="center"/>
        <w:rPr>
          <w:rFonts w:hint="eastAsia" w:ascii="仿宋_GB2312" w:eastAsia="仿宋_GB2312" w:hAnsiTheme="majorEastAsia" w:cstheme="majorEastAsia"/>
          <w:b/>
          <w:bCs/>
          <w:color w:val="auto"/>
          <w:sz w:val="32"/>
          <w:szCs w:val="32"/>
        </w:rPr>
      </w:pPr>
    </w:p>
    <w:p>
      <w:pPr>
        <w:jc w:val="center"/>
        <w:rPr>
          <w:rFonts w:hint="eastAsia" w:ascii="仿宋_GB2312" w:eastAsia="仿宋_GB2312" w:hAnsiTheme="majorEastAsia" w:cstheme="majorEastAsia"/>
          <w:b/>
          <w:bCs/>
          <w:color w:val="auto"/>
          <w:sz w:val="32"/>
          <w:szCs w:val="32"/>
        </w:rPr>
      </w:pPr>
    </w:p>
    <w:p>
      <w:pPr>
        <w:jc w:val="center"/>
        <w:rPr>
          <w:rFonts w:hint="eastAsia" w:ascii="仿宋_GB2312" w:eastAsia="仿宋_GB2312" w:hAnsiTheme="majorEastAsia" w:cstheme="majorEastAsia"/>
          <w:b/>
          <w:bCs/>
          <w:color w:val="auto"/>
          <w:sz w:val="32"/>
          <w:szCs w:val="32"/>
        </w:rPr>
      </w:pPr>
    </w:p>
    <w:p>
      <w:pPr>
        <w:jc w:val="center"/>
        <w:rPr>
          <w:rFonts w:hint="eastAsia" w:ascii="仿宋_GB2312" w:eastAsia="仿宋_GB2312" w:hAnsiTheme="majorEastAsia" w:cstheme="majorEastAsia"/>
          <w:b/>
          <w:bCs/>
          <w:color w:val="auto"/>
          <w:sz w:val="32"/>
          <w:szCs w:val="32"/>
        </w:rPr>
      </w:pPr>
    </w:p>
    <w:p>
      <w:pPr>
        <w:jc w:val="center"/>
        <w:rPr>
          <w:rFonts w:hint="eastAsia" w:ascii="仿宋_GB2312" w:eastAsia="仿宋_GB2312" w:hAnsiTheme="majorEastAsia" w:cstheme="majorEastAsia"/>
          <w:b/>
          <w:bCs/>
          <w:color w:val="auto"/>
          <w:sz w:val="32"/>
          <w:szCs w:val="32"/>
        </w:rPr>
      </w:pPr>
      <w:r>
        <w:rPr>
          <w:rFonts w:hint="eastAsia" w:ascii="仿宋_GB2312" w:eastAsia="仿宋_GB2312" w:hAnsiTheme="majorEastAsia" w:cstheme="majorEastAsia"/>
          <w:b/>
          <w:bCs/>
          <w:color w:val="auto"/>
          <w:sz w:val="32"/>
          <w:szCs w:val="32"/>
        </w:rPr>
        <w:t>第一部分  部门概况</w:t>
      </w:r>
    </w:p>
    <w:p>
      <w:pPr>
        <w:rPr>
          <w:rFonts w:hint="eastAsia" w:ascii="仿宋_GB2312" w:eastAsia="仿宋_GB2312"/>
          <w:color w:val="auto"/>
          <w:sz w:val="32"/>
          <w:szCs w:val="32"/>
        </w:rPr>
      </w:pP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p>
    <w:p>
      <w:pPr>
        <w:ind w:firstLine="640"/>
        <w:rPr>
          <w:rFonts w:hint="eastAsia" w:ascii="仿宋_GB2312" w:hAnsi="仿宋_GB2312" w:eastAsia="仿宋_GB2312" w:cs="仿宋_GB2312"/>
          <w:color w:val="auto"/>
          <w:sz w:val="32"/>
          <w:szCs w:val="32"/>
        </w:rPr>
      </w:pPr>
      <w:r>
        <w:rPr>
          <w:rFonts w:hint="eastAsia" w:ascii="黑体" w:hAnsi="黑体" w:eastAsia="黑体" w:cs="黑体"/>
          <w:b/>
          <w:bCs/>
          <w:color w:val="auto"/>
          <w:sz w:val="32"/>
          <w:szCs w:val="32"/>
        </w:rPr>
        <w:t>一、部门主要职责及机构设置</w:t>
      </w:r>
    </w:p>
    <w:p>
      <w:pPr>
        <w:pStyle w:val="4"/>
        <w:keepNext w:val="0"/>
        <w:keepLines w:val="0"/>
        <w:pageBreakBefore w:val="0"/>
        <w:kinsoku/>
        <w:wordWrap/>
        <w:overflowPunct/>
        <w:topLinePunct w:val="0"/>
        <w:autoSpaceDE/>
        <w:autoSpaceDN/>
        <w:bidi w:val="0"/>
        <w:adjustRightInd/>
        <w:snapToGrid/>
        <w:spacing w:before="204" w:beforeAutospacing="0" w:after="0" w:afterAutospacing="0" w:line="435" w:lineRule="atLeas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陕西省西咸新区沣西新城高桥街道办事处（以下简称“高桥街办”）是西咸新区沣西新城管委会下属行政机构，负责高桥街道区域社会事务与开发建设工作，为财政预算拨款单位。</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高桥街道办事处内设12个科室：党政办公室、财政科、社会事务科、城市管理科、征地开发办公室、经济发展科、三资管理科、民政科、司法信访科、国土资源所、生态环保科、征地拆迁办。</w:t>
      </w:r>
    </w:p>
    <w:p>
      <w:pPr>
        <w:ind w:firstLine="640"/>
        <w:rPr>
          <w:rFonts w:hint="eastAsia" w:ascii="黑体" w:hAnsi="黑体" w:eastAsia="黑体" w:cs="黑体"/>
          <w:b/>
          <w:bCs/>
          <w:color w:val="auto"/>
          <w:sz w:val="32"/>
          <w:szCs w:val="32"/>
        </w:rPr>
      </w:pPr>
      <w:r>
        <w:rPr>
          <w:rFonts w:hint="eastAsia" w:ascii="黑体" w:hAnsi="黑体" w:eastAsia="黑体" w:cs="黑体"/>
          <w:b/>
          <w:bCs/>
          <w:color w:val="auto"/>
          <w:sz w:val="32"/>
          <w:szCs w:val="32"/>
        </w:rPr>
        <w:t>二、2021年度部门工作任务</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学习贯彻习近平新时代中国特色社会主义思想和党的十九大及十九届二中、三中、四中</w:t>
      </w:r>
      <w:r>
        <w:rPr>
          <w:rFonts w:hint="eastAsia" w:asciiTheme="minorEastAsia" w:hAnsiTheme="minorEastAsia" w:eastAsiaTheme="minorEastAsia" w:cstheme="minorEastAsia"/>
          <w:color w:val="auto"/>
          <w:sz w:val="28"/>
          <w:szCs w:val="28"/>
          <w:lang w:eastAsia="zh-CN"/>
        </w:rPr>
        <w:t>、五中</w:t>
      </w:r>
      <w:r>
        <w:rPr>
          <w:rFonts w:hint="eastAsia" w:asciiTheme="minorEastAsia" w:hAnsiTheme="minorEastAsia" w:eastAsiaTheme="minorEastAsia" w:cstheme="minorEastAsia"/>
          <w:color w:val="auto"/>
          <w:sz w:val="28"/>
          <w:szCs w:val="28"/>
        </w:rPr>
        <w:t>全会精神，全面落实党委管委会决策部署，不断加强领导干部政治理论和业务知识学习，每月组织开展学习活动不少于两次；严格执行民主集中制，班子成员分工明确，依规依据科学决策；按期完成《沣西新城20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年干部教育培训计划》分配任务，积极参加省、市、新区及新城组织的各类培训班；加强干部日常管理，强化结果运用，增强干部活力；领导干部每年开展谈心谈话活动不少于两次。</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贯彻落实中省市纪委全会和新区、新城党风廉政建设工作会精神，严格按照年初签订的《党风廉政建设目标责任书》要求，严肃党内政治生活，严明政治纪律和政治规矩，落实全面从严治党主体责任，制定出台党委班子成员落实主体责任的清单，健全日常督促、约谈、专题报告、述责述廉、检查考核等机制，确保“两个责任”落实到位。贯彻中央八项规定精神及实施细则，驰而不息纠“四风”，坚决整治形式主义、官僚主义。落实巡察工作部署和整改要求。有效运用“四种形态”，强化监督执纪问责，巩固发展反腐败斗争压倒性胜利，一体推进不敢腐、不能腐、不想腐。</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持续推进“两学一做”学习教育常态化制度化，建立“不忘初心、牢记使命”主题教育长效机制，持续深入学习习近平新时代中国特色社会主义思想。严格执行党内政治生活若干准则，从严落实“三会一课”、民主生活会等基本制度。扎实开展党组织书记抓基层党建工作述职评议考核工作。加快推进基层党组织标准化、规范化建设，按照5%比例创建省、市标准化、规范化基层党组织示范点。把抓党建促脱贫攻坚工作纳入村党组织书记抓党建述职述评考核。抓好软弱涣散基层党组织整顿转化提升。做好党员发展和日常教育管理工作，建立流动党员分类管理办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加强阵地建设和管理，落实意识形态工作责任制；抓好党（工）委中心组、下辖党支部、党员领导干部政策理论学习；做好理论宣传宣讲队伍建设及活动开展；做好“学习强国”学习平台的推广运用等工作。完成辖区全部村组社区“扫黄打非”基层站点建设。加快新时代文明实践所、实践站建设；推进“美丽乡村、文明家园”和乡风文明建设；深化各类精神文明建设创建活动。建设网评员队伍，妥善引导网上舆论，加强网络舆情处置应对。</w:t>
      </w:r>
    </w:p>
    <w:p>
      <w:pPr>
        <w:numPr>
          <w:ilvl w:val="0"/>
          <w:numId w:val="1"/>
        </w:numPr>
        <w:ind w:left="0" w:leftChars="0"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 按照《沣西新城镇街便民服务机构信息化建设指导意见》完成便民服务站信息化改造升级（与实体大厅建设同步完成）；</w:t>
      </w:r>
      <w:r>
        <w:rPr>
          <w:rFonts w:hint="eastAsia" w:asciiTheme="minorEastAsia" w:hAnsiTheme="minorEastAsia" w:eastAsiaTheme="minorEastAsia" w:cstheme="minorEastAsia"/>
          <w:color w:val="auto"/>
          <w:kern w:val="0"/>
          <w:sz w:val="28"/>
          <w:szCs w:val="28"/>
          <w:lang w:val="en-US" w:eastAsia="zh-CN"/>
        </w:rPr>
        <w:t>梳理本街镇</w:t>
      </w:r>
      <w:r>
        <w:rPr>
          <w:rFonts w:hint="eastAsia" w:asciiTheme="minorEastAsia" w:hAnsiTheme="minorEastAsia" w:eastAsiaTheme="minorEastAsia" w:cstheme="minorEastAsia"/>
          <w:color w:val="auto"/>
          <w:sz w:val="28"/>
          <w:szCs w:val="28"/>
        </w:rPr>
        <w:t>政务服务事项清单</w:t>
      </w:r>
      <w:r>
        <w:rPr>
          <w:rFonts w:hint="eastAsia" w:asciiTheme="minorEastAsia" w:hAnsiTheme="minorEastAsia" w:eastAsiaTheme="minorEastAsia" w:cstheme="minorEastAsia"/>
          <w:color w:val="auto"/>
          <w:sz w:val="28"/>
          <w:szCs w:val="28"/>
          <w:lang w:eastAsia="zh-CN"/>
        </w:rPr>
        <w:t>，全部录入网上大厅</w:t>
      </w:r>
      <w:r>
        <w:rPr>
          <w:rFonts w:hint="eastAsia" w:asciiTheme="minorEastAsia" w:hAnsiTheme="minorEastAsia" w:eastAsiaTheme="minorEastAsia" w:cstheme="minorEastAsia"/>
          <w:color w:val="auto"/>
          <w:sz w:val="28"/>
          <w:szCs w:val="28"/>
          <w:lang w:val="en-US" w:eastAsia="zh-CN"/>
        </w:rPr>
        <w:t>（与实体大厅建设同步完成）</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梳理网办事项</w:t>
      </w:r>
      <w:r>
        <w:rPr>
          <w:rFonts w:hint="eastAsia" w:asciiTheme="minorEastAsia" w:hAnsiTheme="minorEastAsia" w:eastAsiaTheme="minorEastAsia" w:cstheme="minorEastAsia"/>
          <w:color w:val="auto"/>
          <w:sz w:val="28"/>
          <w:szCs w:val="28"/>
        </w:rPr>
        <w:t>流程</w:t>
      </w:r>
      <w:r>
        <w:rPr>
          <w:rFonts w:hint="eastAsia" w:asciiTheme="minorEastAsia" w:hAnsiTheme="minorEastAsia" w:eastAsiaTheme="minorEastAsia" w:cstheme="minorEastAsia"/>
          <w:color w:val="auto"/>
          <w:sz w:val="28"/>
          <w:szCs w:val="28"/>
          <w:lang w:eastAsia="zh-CN"/>
        </w:rPr>
        <w:t>、审批人员、办事指南，确保事项</w:t>
      </w:r>
      <w:r>
        <w:rPr>
          <w:rFonts w:hint="eastAsia" w:asciiTheme="minorEastAsia" w:hAnsiTheme="minorEastAsia" w:eastAsiaTheme="minorEastAsia" w:cstheme="minorEastAsia"/>
          <w:color w:val="auto"/>
          <w:sz w:val="28"/>
          <w:szCs w:val="28"/>
          <w:lang w:val="en-US" w:eastAsia="zh-CN"/>
        </w:rPr>
        <w:t>100%网上可办</w:t>
      </w:r>
      <w:r>
        <w:rPr>
          <w:rFonts w:hint="eastAsia" w:asciiTheme="minorEastAsia" w:hAnsiTheme="minorEastAsia" w:eastAsiaTheme="minorEastAsia" w:cstheme="minorEastAsia"/>
          <w:color w:val="auto"/>
          <w:sz w:val="28"/>
          <w:szCs w:val="28"/>
          <w:lang w:eastAsia="zh-CN"/>
        </w:rPr>
        <w:t>；办理事项</w:t>
      </w:r>
      <w:r>
        <w:rPr>
          <w:rFonts w:hint="eastAsia" w:asciiTheme="minorEastAsia" w:hAnsiTheme="minorEastAsia" w:eastAsiaTheme="minorEastAsia" w:cstheme="minorEastAsia"/>
          <w:color w:val="auto"/>
          <w:sz w:val="28"/>
          <w:szCs w:val="28"/>
          <w:lang w:val="en-US" w:eastAsia="zh-CN"/>
        </w:rPr>
        <w:t>100%在系统留痕。发展壮大农村集体经济，年内基本消除农村集体经济空壳村；</w:t>
      </w:r>
    </w:p>
    <w:p>
      <w:pPr>
        <w:ind w:firstLine="640"/>
        <w:rPr>
          <w:rFonts w:hint="eastAsia" w:ascii="黑体" w:hAnsi="黑体" w:eastAsia="黑体" w:cs="黑体"/>
          <w:b/>
          <w:bCs/>
          <w:color w:val="auto"/>
          <w:sz w:val="32"/>
          <w:szCs w:val="32"/>
        </w:rPr>
      </w:pPr>
      <w:r>
        <w:rPr>
          <w:rFonts w:hint="eastAsia" w:ascii="黑体" w:hAnsi="黑体" w:eastAsia="黑体" w:cs="黑体"/>
          <w:b/>
          <w:bCs/>
          <w:color w:val="auto"/>
          <w:sz w:val="32"/>
          <w:szCs w:val="32"/>
        </w:rPr>
        <w:t>三、部门预算单位构成</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从预算单位构成看，本部门的部门预算包括高桥街办本级预算。纳入本部门20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年部门预算编制范围的二级预算单位共有1个，包括高桥街道办事处。</w:t>
      </w:r>
    </w:p>
    <w:p>
      <w:pPr>
        <w:ind w:firstLine="640"/>
        <w:rPr>
          <w:rFonts w:hint="eastAsia" w:ascii="黑体" w:hAnsi="黑体" w:eastAsia="黑体" w:cs="黑体"/>
          <w:b/>
          <w:bCs/>
          <w:color w:val="auto"/>
          <w:sz w:val="32"/>
          <w:szCs w:val="32"/>
        </w:rPr>
      </w:pPr>
      <w:r>
        <w:rPr>
          <w:rFonts w:hint="eastAsia" w:ascii="黑体" w:hAnsi="黑体" w:eastAsia="黑体" w:cs="黑体"/>
          <w:b/>
          <w:bCs/>
          <w:color w:val="auto"/>
          <w:sz w:val="32"/>
          <w:szCs w:val="32"/>
        </w:rPr>
        <w:t>四、部门人员情况说明</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截止20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年底，本部门人员编制5</w:t>
      </w: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t>人，其中行政编制28人、事业编制26人。高桥街道财政供养在职人员共计5</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名，其中行政</w:t>
      </w:r>
      <w:r>
        <w:rPr>
          <w:rFonts w:hint="eastAsia" w:asciiTheme="minorEastAsia" w:hAnsiTheme="minorEastAsia" w:eastAsiaTheme="minorEastAsia" w:cstheme="minorEastAsia"/>
          <w:color w:val="auto"/>
          <w:sz w:val="28"/>
          <w:szCs w:val="28"/>
          <w:lang w:val="en-US" w:eastAsia="zh-CN"/>
        </w:rPr>
        <w:t>18</w:t>
      </w:r>
      <w:r>
        <w:rPr>
          <w:rFonts w:hint="eastAsia" w:asciiTheme="minorEastAsia" w:hAnsiTheme="minorEastAsia" w:eastAsiaTheme="minorEastAsia" w:cstheme="minorEastAsia"/>
          <w:color w:val="auto"/>
          <w:sz w:val="28"/>
          <w:szCs w:val="28"/>
        </w:rPr>
        <w:t>名，事业3</w:t>
      </w: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rPr>
        <w:t>名,其他人员</w:t>
      </w:r>
      <w:r>
        <w:rPr>
          <w:rFonts w:hint="eastAsia" w:asciiTheme="minorEastAsia" w:hAnsiTheme="minorEastAsia" w:eastAsiaTheme="minorEastAsia" w:cstheme="minorEastAsia"/>
          <w:color w:val="auto"/>
          <w:sz w:val="28"/>
          <w:szCs w:val="28"/>
          <w:lang w:val="en-US" w:eastAsia="zh-CN"/>
        </w:rPr>
        <w:t>62</w:t>
      </w:r>
      <w:r>
        <w:rPr>
          <w:rFonts w:hint="eastAsia" w:asciiTheme="minorEastAsia" w:hAnsiTheme="minorEastAsia" w:eastAsiaTheme="minorEastAsia" w:cstheme="minorEastAsia"/>
          <w:color w:val="auto"/>
          <w:sz w:val="28"/>
          <w:szCs w:val="28"/>
        </w:rPr>
        <w:t>名</w:t>
      </w:r>
      <w:r>
        <w:rPr>
          <w:rFonts w:hint="eastAsia" w:asciiTheme="minorEastAsia" w:hAnsiTheme="minorEastAsia" w:eastAsiaTheme="minorEastAsia" w:cstheme="minorEastAsia"/>
          <w:color w:val="auto"/>
          <w:sz w:val="28"/>
          <w:szCs w:val="28"/>
          <w:lang w:eastAsia="zh-CN"/>
        </w:rPr>
        <w:t>，退休人员</w:t>
      </w:r>
      <w:r>
        <w:rPr>
          <w:rFonts w:hint="eastAsia" w:asciiTheme="minorEastAsia" w:hAnsiTheme="minorEastAsia" w:eastAsiaTheme="minorEastAsia" w:cstheme="minorEastAsia"/>
          <w:color w:val="auto"/>
          <w:sz w:val="28"/>
          <w:szCs w:val="28"/>
          <w:lang w:val="en-US" w:eastAsia="zh-CN"/>
        </w:rPr>
        <w:t>20人。</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heme="minorEastAsia" w:hAnsiTheme="minorEastAsia" w:eastAsiaTheme="minorEastAsia" w:cstheme="minorEastAsia"/>
          <w:color w:val="auto"/>
          <w:sz w:val="28"/>
          <w:szCs w:val="28"/>
          <w:lang w:val="en-US" w:eastAsia="zh-CN"/>
        </w:rPr>
      </w:pPr>
      <w:r>
        <w:rPr>
          <w:color w:val="auto"/>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ind w:firstLine="640"/>
        <w:rPr>
          <w:rFonts w:hint="eastAsia" w:ascii="仿宋_GB2312" w:hAnsi="仿宋_GB2312" w:eastAsia="仿宋_GB2312" w:cs="仿宋_GB2312"/>
          <w:color w:val="auto"/>
          <w:sz w:val="32"/>
          <w:szCs w:val="32"/>
        </w:rPr>
      </w:pPr>
    </w:p>
    <w:p>
      <w:pPr>
        <w:ind w:firstLine="64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第二部分  收支情况</w:t>
      </w:r>
    </w:p>
    <w:p>
      <w:pPr>
        <w:ind w:firstLine="640"/>
        <w:rPr>
          <w:rFonts w:hint="eastAsia" w:ascii="黑体" w:hAnsi="黑体" w:eastAsia="黑体" w:cs="黑体"/>
          <w:b/>
          <w:bCs/>
          <w:color w:val="auto"/>
          <w:sz w:val="32"/>
          <w:szCs w:val="32"/>
        </w:rPr>
      </w:pPr>
      <w:r>
        <w:rPr>
          <w:rFonts w:hint="eastAsia" w:ascii="黑体" w:hAnsi="黑体" w:eastAsia="黑体" w:cs="黑体"/>
          <w:b/>
          <w:bCs/>
          <w:color w:val="auto"/>
          <w:sz w:val="32"/>
          <w:szCs w:val="32"/>
        </w:rPr>
        <w:t>五、2021年部门预算收支说明</w:t>
      </w:r>
    </w:p>
    <w:p>
      <w:pPr>
        <w:ind w:firstLine="640"/>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（一）收支预算总体情况。</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按照综合预算的原则，本部门所有收入和支出均纳入部门预算管理。2021年本部门预算收入6358.57万元，其中一般公共预算拨款收入5601.03万元、政府性基金拨款收入757.54万元，2021年本部门预算收入较上年增加2530.45万元，主要原因是2021年使用财政云系统，使用零余额账户，将上交2020年全部实户资金，不能继续使用上年结转结余资金，因此在进行预算时更全面准确，预算收入明显增加；2021年本部门预算支出6358.57万元，其中一般公共预算拨款支出5601.03万元、政府性基金拨款支出757.54万元，2021年本部门预算支出较上年增加2530.45万元，主要原因是2021年使用财政云系统，使用零余额账户，将上交2020年全部实户资金，不能继续使用上年结转结余资金，因此在进行预算时更全面准确，预算支出明显增加。</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楷体" w:hAnsi="楷体" w:eastAsia="楷体" w:cs="楷体"/>
          <w:color w:val="auto"/>
          <w:sz w:val="32"/>
          <w:szCs w:val="32"/>
        </w:rPr>
        <w:t>二）财政拨款收支情况。</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2021年本部门预算收入6358.57万元，其中一般公共预算拨款收入5601.03万元、政府性基金拨款收入757.54万元，2021年本部门预算收入较上年增加2530.45万元，主要原因是2021年使用财政云系统，使用零余额账户，将上交2020年全部实户资金，不能继续使用上年结转结余资金，因此在进行预算时更全面准确，预算收入明显增加；2021年本部门预算支出6358.57万元，其中一般公共预算拨款支出5601.03万元、政府性基金拨款支出757.54万元，2021年本部门预算支出较上年增加2530.45万元，主要原因是2021年使用财政云系统，使用零余额账户，将上交2020年全部实户资金，不能继续使用上年结转结余资金，因此在进行预算时更全面准确，预算支出明显增加。</w:t>
      </w:r>
    </w:p>
    <w:p>
      <w:pPr>
        <w:ind w:firstLine="640"/>
        <w:rPr>
          <w:rFonts w:hint="eastAsia" w:ascii="楷体" w:hAnsi="楷体" w:eastAsia="楷体" w:cs="楷体"/>
          <w:color w:val="auto"/>
          <w:sz w:val="32"/>
          <w:szCs w:val="32"/>
        </w:rPr>
      </w:pPr>
      <w:r>
        <w:rPr>
          <w:rFonts w:hint="eastAsia" w:ascii="楷体" w:hAnsi="楷体" w:eastAsia="楷体" w:cs="楷体"/>
          <w:color w:val="auto"/>
          <w:sz w:val="32"/>
          <w:szCs w:val="32"/>
        </w:rPr>
        <w:t>（三）一般公共预算拨款支出明细情况。</w:t>
      </w:r>
    </w:p>
    <w:p>
      <w:pPr>
        <w:ind w:firstLine="640"/>
        <w:rPr>
          <w:rFonts w:hint="eastAsia" w:ascii="楷体" w:hAnsi="楷体" w:eastAsia="楷体" w:cs="楷体"/>
          <w:color w:val="auto"/>
          <w:sz w:val="32"/>
          <w:szCs w:val="32"/>
        </w:rPr>
      </w:pPr>
      <w:r>
        <w:rPr>
          <w:rFonts w:hint="eastAsia" w:ascii="楷体" w:hAnsi="楷体" w:eastAsia="楷体" w:cs="楷体"/>
          <w:color w:val="auto"/>
          <w:sz w:val="32"/>
          <w:szCs w:val="32"/>
        </w:rPr>
        <w:t>1、一般公共预算当年拨款规模变化情况。</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2021年本部门当年一般公共预算拨款支出5601.03万元，较上年增加2769.67万元，主要原因是增加煤改洁、城乡低保等民生类的项目预算。</w:t>
      </w:r>
    </w:p>
    <w:p>
      <w:pPr>
        <w:ind w:firstLine="640"/>
        <w:rPr>
          <w:rFonts w:hint="eastAsia" w:ascii="楷体" w:hAnsi="楷体" w:eastAsia="楷体" w:cs="楷体"/>
          <w:color w:val="auto"/>
          <w:sz w:val="32"/>
          <w:szCs w:val="32"/>
        </w:rPr>
      </w:pPr>
      <w:r>
        <w:rPr>
          <w:rFonts w:hint="eastAsia" w:ascii="楷体" w:hAnsi="楷体" w:eastAsia="楷体" w:cs="楷体"/>
          <w:color w:val="auto"/>
          <w:sz w:val="32"/>
          <w:szCs w:val="32"/>
        </w:rPr>
        <w:t>2、支出按功能科目分类的明细情况。</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2021年本部门当年一般公共预算支出5601.03万元，其中：</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（1）行政运行（2010301）1655.15万元，较上年增加541.17万元，原因是将年终目标责任考核奖纳入预算；</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（2）事业运行（2010350），较上年增加310.77万元，原因是事业人员人员经费预算往年使用的行政运行支出功能分类2010301，2021年改变支出功能分类科目；</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（3）一般行政管理事务（2010302），较上年增加283.99万元，原因是改变综合网格管理中心运行经费支出功能分类；</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（4）信访事务（2010308），较上年减少15万元，原因是减少信访差旅费用；</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（5）一般行政管理事务（2011102），较上年增加5万元，原因是改变纪委监察支出功能分类；</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（6）其他群众团体事务支出（2012999），较上年增加6万元，原因是将团委及十四运工作经费纳入预算同时改变了妇联工作经费支出功能分类；</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（7）其他组织事务支出（2012999），较上年减少4.14万元，原因是减少软弱涣散办公经费；</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（8）其他公共安全支出（2049999），较上年增加48.1万元，原因是改变综治、平安建设、扫黑除恶等支出功能分类；</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（9）其他公共安全支出（2049999），较上年增加48.1万元，原因是改变综治、平安建设、扫黑除恶等支出功能分类；</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（10）其他公共安全支出（2049999），较上年增加48.1万元，原因是改变综治、平安建设、扫黑除恶等支出功能分类；</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（11）小学教育（2050202），较上年增加152.14万元，原因是新增中小学校舍改造项目；</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（12）群众文化（2070109），较上年增加4.2万元，原因是新增文化管理员工资项目；</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（13）基层政权和社区治理（2080208），较上年增加379.08万元，原因是新增社区工作者工资和换届选举经费；</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（14）其他民政管理事务支出（2080299），较上年减少93.96万元，原因是便民大厅人员及设备已在2020年配备完成，2021年仅需日常运转经费；</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（15）殡葬（2081004），较上年减少38.6万元，原因是减少散埋乱葬个数；</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（16）农村最低生活保障金（2081902），较上年增加175.4万元，原因是新增农村低保项目预算；</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（17）临时救助支出（2082001），较上年增加5.06万元，原因是增加对辖区内临时救助人员的补助金；</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（18）流浪乞讨人员救助支出（2082002），较上年增加1万元，原因是增加对辖区内流浪乞讨救助的宣传等支出；</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（19）其他退役军人事务管理支出（2082899），较上年增加5万元，原因是新增退役军人工作经费项目；</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（20）其他退役军人事务管理支出（2082899），较上年增加5万元，原因是新增退役军人工作经费；</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（21）突发公共卫生事件应急处理（2100410），较上年增加200万元，原因是新增新冠疫情防控经费；</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（22）其他公共卫生支出（2100499），较上年增加1万元，原因是新增爱卫工作经费；</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（23）其他计划生育事务支出（2100799），较上年增加2万元，原因是新增计生工作经费；</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（24）其他环境保护管理事务支出（2110199），较上年减少8万元，原因是减少购买绿网；</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（25）其他污染防治支出（2110399），较上年增加1140.13万元，原因是增加煤改洁运行及设备补贴；</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（26）农村环境保护（2110402），较上年减少58.87万元，原因是取消畜禽退养工作经费；</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（27）城管执法（2120104），较上年减少4.08万元，原因是减少工作经费；</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（28）小城镇基础设施建设（2100499），较上年增加25万元，原因是新增道路养护及交通安全工作经费；</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（29）城乡社区环境卫生（2120501），较上年增加92万元，原因是新增人居环境卫生整治奖补资金项目；</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（30）农产品质量安全（2130109），较上年增加2.52万元，原因是新增农产品监测站人员工资；</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（31）防灾救灾（2130119），较上年减少5万元，原因是减少购买应急物资；</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（32）水土保持（2130310），较上年增加13.2万元，原因是将渭河河堤路保洁员工资福利等纳入预算；</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（33）防汛（2130314），较上年减少5.28万元，原因是减少购买防汛物资；</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（34）抗旱（2130315），较上年减少5万元，原因是减少购买抗旱物资；</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（35）农村人畜饮水（2130335），与上年相同；</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（36）其他扶贫支出（2130599），较上年减少8.8万元，原因是减少扶贫外出培训；</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（37）对村民委员会和村党支部的补助（2130705），与上年相同；</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（38）对村集体经济组织的补助（2130706），较上年增加19万元，原因是新增发展壮大集体经济工作经费；</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（39）其他农村综合改革支出（2130799），较上年减少32万元，原因是减少农村产权改革经费；</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（40）其他农林水支出（2139999），较上年增加10.4万元，原因是新增农村集体资产年度清查工作经费同时改变农村财务审计支出功能科目；</w:t>
      </w:r>
    </w:p>
    <w:p>
      <w:pPr>
        <w:ind w:firstLine="640"/>
        <w:rPr>
          <w:rFonts w:hint="eastAsia" w:asciiTheme="minorEastAsia" w:hAnsiTheme="minorEastAsia" w:eastAsiaTheme="minorEastAsia" w:cstheme="minorEastAsia"/>
          <w:color w:val="auto"/>
          <w:sz w:val="28"/>
          <w:szCs w:val="28"/>
          <w:lang w:val="en-US" w:eastAsia="zh-CN"/>
        </w:rPr>
      </w:pP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（41）自然资源利用与保护（2200106），较上年减少151.2万元，原因是减少大棚房工作经费；</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（42）住房公积金（2210201），较上年减少9.53万元；根据上年情况调整预算；</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（43）安全监管（2240106），较上年增加2.1万元，原因是增加应急报纸杂志等费用。</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3、支出按经济科目分类的明细情况</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2020年本部门一般公共预算支出2831.36万元，其中：</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工资福利支出（301）1851.97万元，较上年增加805.15万元，原因是将年度目标责任考核奖等纳入预算且单位人员增加；</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商品和服务支出（302）1460.58万元，较上年减少30.88万元，原因是本年减少新建项目，严格控制资金支出，提高资金使用效率；</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对个人和家庭的补助支出（303）2129.7万元，较上年增加1896.56万元，原因是殡葬、流浪乞讨、煤改洁等项目部门经济分类为对个人和家庭的补助支出；</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资本性支出（基本建设）（309）6万元，较上年增加6万元，原因是安装路灯；</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资本性支出（310）152.78万元，较上年增加92.84万元，原因是教育提升改造项目；</w:t>
      </w:r>
    </w:p>
    <w:p>
      <w:pPr>
        <w:numPr>
          <w:ilvl w:val="0"/>
          <w:numId w:val="2"/>
        </w:num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按照政府预算支出经济分类的类级科目说明。</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2021年本部门一般公共预算支出2831.36万元，其中：</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机关工资福利支出（501）1851.97万元，机关商品和服务支出（502）1460.58万元，机关资本性支出（一）（503）152.78万元，对个人和家庭的补助（509）2129.7万元。</w:t>
      </w:r>
    </w:p>
    <w:p>
      <w:pPr>
        <w:ind w:firstLine="64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4、本部门无2020年结转的一般公共预算拨款资金支出。</w:t>
      </w:r>
    </w:p>
    <w:p>
      <w:pPr>
        <w:ind w:firstLine="640"/>
        <w:rPr>
          <w:rFonts w:hint="eastAsia" w:ascii="楷体" w:hAnsi="楷体" w:eastAsia="楷体" w:cs="楷体"/>
          <w:color w:val="auto"/>
          <w:sz w:val="32"/>
          <w:szCs w:val="32"/>
        </w:rPr>
      </w:pPr>
      <w:r>
        <w:rPr>
          <w:rFonts w:hint="eastAsia" w:ascii="楷体" w:hAnsi="楷体" w:eastAsia="楷体" w:cs="楷体"/>
          <w:color w:val="auto"/>
          <w:sz w:val="32"/>
          <w:szCs w:val="32"/>
        </w:rPr>
        <w:t>（四）政府性基金预算支出情况。</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2020年本部门政府性基金预算支出757.54万元，较上年减少239.22万元，主要原因是减少预算道路保洁公司服务费，减少无主垃圾清理支出。本部门无2020年结转的政府性基金预算拨款资金支出。</w:t>
      </w:r>
    </w:p>
    <w:p>
      <w:pPr>
        <w:ind w:firstLine="640"/>
        <w:rPr>
          <w:rFonts w:hint="eastAsia" w:ascii="楷体" w:hAnsi="楷体" w:eastAsia="楷体" w:cs="楷体"/>
          <w:color w:val="auto"/>
          <w:sz w:val="32"/>
          <w:szCs w:val="32"/>
        </w:rPr>
      </w:pPr>
      <w:bookmarkStart w:id="0" w:name="_GoBack"/>
      <w:r>
        <w:rPr>
          <w:rFonts w:hint="eastAsia" w:ascii="楷体" w:hAnsi="楷体" w:eastAsia="楷体" w:cs="楷体"/>
          <w:color w:val="auto"/>
          <w:sz w:val="32"/>
          <w:szCs w:val="32"/>
        </w:rPr>
        <w:t>（五）国有资本经营预算拨款收支情况。</w:t>
      </w:r>
    </w:p>
    <w:bookmarkEnd w:id="0"/>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本部门无国有资本经营预算拨款收支。本部门无2020年结转的国有资本经营预算拨款资金支出。</w:t>
      </w:r>
    </w:p>
    <w:p>
      <w:pPr>
        <w:ind w:firstLine="640"/>
        <w:rPr>
          <w:rFonts w:hint="eastAsia" w:ascii="仿宋_GB2312" w:hAnsi="仿宋_GB2312" w:eastAsia="仿宋_GB2312" w:cs="仿宋_GB2312"/>
          <w:color w:val="auto"/>
          <w:sz w:val="32"/>
          <w:szCs w:val="32"/>
        </w:rPr>
      </w:pPr>
    </w:p>
    <w:p>
      <w:pPr>
        <w:jc w:val="center"/>
        <w:rPr>
          <w:rFonts w:hint="eastAsia" w:ascii="仿宋_GB2312" w:hAnsi="仿宋_GB2312" w:eastAsia="仿宋_GB2312" w:cs="仿宋_GB2312"/>
          <w:color w:val="auto"/>
          <w:sz w:val="32"/>
          <w:szCs w:val="32"/>
        </w:rPr>
      </w:pPr>
      <w:r>
        <w:rPr>
          <w:rFonts w:hint="eastAsia" w:ascii="仿宋_GB2312" w:eastAsia="仿宋_GB2312" w:hAnsiTheme="minorEastAsia" w:cstheme="minorEastAsia"/>
          <w:b/>
          <w:bCs/>
          <w:color w:val="auto"/>
          <w:sz w:val="32"/>
          <w:szCs w:val="32"/>
        </w:rPr>
        <w:t>第三部分  其他说明情况</w:t>
      </w:r>
    </w:p>
    <w:p>
      <w:pPr>
        <w:ind w:firstLine="640"/>
        <w:rPr>
          <w:rFonts w:hint="eastAsia" w:ascii="黑体" w:hAnsi="黑体" w:eastAsia="黑体" w:cs="黑体"/>
          <w:b/>
          <w:bCs/>
          <w:color w:val="auto"/>
          <w:sz w:val="32"/>
          <w:szCs w:val="32"/>
        </w:rPr>
      </w:pPr>
      <w:r>
        <w:rPr>
          <w:rFonts w:hint="eastAsia" w:ascii="黑体" w:hAnsi="黑体" w:eastAsia="黑体" w:cs="黑体"/>
          <w:b/>
          <w:bCs/>
          <w:color w:val="auto"/>
          <w:sz w:val="32"/>
          <w:szCs w:val="32"/>
        </w:rPr>
        <w:t>六、部门预算“三公”经费等预算情况说明</w:t>
      </w:r>
    </w:p>
    <w:p>
      <w:pPr>
        <w:ind w:firstLine="640"/>
        <w:rPr>
          <w:rFonts w:hint="eastAsia" w:ascii="仿宋_GB2312" w:hAnsi="仿宋_GB2312" w:eastAsia="仿宋_GB2312" w:cs="仿宋_GB2312"/>
          <w:color w:val="auto"/>
          <w:sz w:val="32"/>
          <w:szCs w:val="32"/>
          <w:lang w:val="en-US" w:eastAsia="zh-CN"/>
        </w:rPr>
      </w:pPr>
      <w:r>
        <w:rPr>
          <w:rFonts w:hint="eastAsia" w:asciiTheme="minorEastAsia" w:hAnsiTheme="minorEastAsia" w:eastAsiaTheme="minorEastAsia" w:cstheme="minorEastAsia"/>
          <w:color w:val="auto"/>
          <w:sz w:val="28"/>
          <w:szCs w:val="28"/>
          <w:lang w:val="en-US" w:eastAsia="zh-CN"/>
        </w:rPr>
        <w:t>2021年本部门一般公共预算“三公”经费预算支出6.2万元，较上年减少9.95万元。其中公务接待费0元，减少公务接待；会议费0万元，原因是减少会议次数；培训费1.1万元，较上年减少7.7万元，原因是减少培训次数；公务运行维护费5.1万元，与去年相同，严格控制公车运行费用。本部门无2020年结转的财政拨款“三公”经费支出。</w:t>
      </w:r>
    </w:p>
    <w:p>
      <w:pPr>
        <w:ind w:firstLine="640"/>
        <w:rPr>
          <w:rFonts w:hint="eastAsia" w:ascii="黑体" w:hAnsi="黑体" w:eastAsia="黑体" w:cs="黑体"/>
          <w:b/>
          <w:bCs/>
          <w:color w:val="auto"/>
          <w:sz w:val="32"/>
          <w:szCs w:val="32"/>
        </w:rPr>
      </w:pPr>
      <w:r>
        <w:rPr>
          <w:rFonts w:hint="eastAsia" w:ascii="黑体" w:hAnsi="黑体" w:eastAsia="黑体" w:cs="黑体"/>
          <w:b/>
          <w:bCs/>
          <w:color w:val="auto"/>
          <w:sz w:val="32"/>
          <w:szCs w:val="32"/>
        </w:rPr>
        <w:t>七、部门国有资产占有使用及资产购置情况说明</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截止2020年底，本部门账面共有车辆12辆，车辆改革后，保留3辆，单价20万元以上设备0台。2021年部门预算安排购置车辆0辆；安排购置单价20万元以上的设备0台（套）。本部门无2020年结转的财政拨款支出资产购置。</w:t>
      </w:r>
    </w:p>
    <w:p>
      <w:pPr>
        <w:ind w:firstLine="640"/>
        <w:rPr>
          <w:rFonts w:hint="eastAsia" w:ascii="黑体" w:hAnsi="黑体" w:eastAsia="黑体" w:cs="黑体"/>
          <w:b/>
          <w:bCs/>
          <w:color w:val="auto"/>
          <w:sz w:val="32"/>
          <w:szCs w:val="32"/>
        </w:rPr>
      </w:pPr>
      <w:r>
        <w:rPr>
          <w:rFonts w:hint="eastAsia" w:ascii="黑体" w:hAnsi="黑体" w:eastAsia="黑体" w:cs="黑体"/>
          <w:b/>
          <w:bCs/>
          <w:color w:val="auto"/>
          <w:sz w:val="32"/>
          <w:szCs w:val="32"/>
        </w:rPr>
        <w:t>八、政府采购情况说明</w:t>
      </w:r>
    </w:p>
    <w:p>
      <w:pPr>
        <w:ind w:firstLine="64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2021年本部门政府采购预算共457.5万元，其中政府采购货物类预算69.5万元，服务388万元，无工程类预算。本部门无2020年结转的政府采购资金支出。</w:t>
      </w:r>
    </w:p>
    <w:p>
      <w:pPr>
        <w:ind w:firstLine="640"/>
        <w:rPr>
          <w:rFonts w:hint="eastAsia" w:ascii="黑体" w:hAnsi="黑体" w:eastAsia="黑体" w:cs="黑体"/>
          <w:b/>
          <w:bCs/>
          <w:color w:val="auto"/>
          <w:sz w:val="32"/>
          <w:szCs w:val="32"/>
        </w:rPr>
      </w:pPr>
      <w:r>
        <w:rPr>
          <w:rFonts w:hint="eastAsia" w:ascii="黑体" w:hAnsi="黑体" w:eastAsia="黑体" w:cs="黑体"/>
          <w:b/>
          <w:bCs/>
          <w:color w:val="auto"/>
          <w:sz w:val="32"/>
          <w:szCs w:val="32"/>
        </w:rPr>
        <w:t>九、部门预算绩效目标情况说明</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2021年，本部门预算安排扶贫项目1个，涉及扶贫项目资金6.84万元，扶贫项目资金绩效目标随同部门预算一并公开。本部门无2020年结转的财政拨款支出涉及的绩效目标管理。</w:t>
      </w:r>
    </w:p>
    <w:p>
      <w:pPr>
        <w:ind w:firstLine="640"/>
        <w:rPr>
          <w:rFonts w:hint="eastAsia" w:ascii="黑体" w:hAnsi="黑体" w:eastAsia="黑体" w:cs="黑体"/>
          <w:b/>
          <w:bCs/>
          <w:color w:val="auto"/>
          <w:sz w:val="32"/>
          <w:szCs w:val="32"/>
        </w:rPr>
      </w:pPr>
      <w:r>
        <w:rPr>
          <w:rFonts w:hint="eastAsia" w:ascii="黑体" w:hAnsi="黑体" w:eastAsia="黑体" w:cs="黑体"/>
          <w:b/>
          <w:bCs/>
          <w:color w:val="auto"/>
          <w:sz w:val="32"/>
          <w:szCs w:val="32"/>
        </w:rPr>
        <w:t>十、机关运行经费安排情况说明</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本部门2021年机关运行经费预算安排264.4万元，较上年增加59.77万元，主要原因是人员增加。本部门无2020年结转的财政拨款机关运行经费支出。</w:t>
      </w:r>
    </w:p>
    <w:p>
      <w:pPr>
        <w:ind w:firstLine="640"/>
        <w:rPr>
          <w:rFonts w:hint="eastAsia" w:ascii="黑体" w:hAnsi="黑体" w:eastAsia="黑体" w:cs="黑体"/>
          <w:b/>
          <w:bCs/>
          <w:color w:val="auto"/>
          <w:sz w:val="32"/>
          <w:szCs w:val="32"/>
        </w:rPr>
      </w:pPr>
      <w:r>
        <w:rPr>
          <w:rFonts w:hint="eastAsia" w:ascii="黑体" w:hAnsi="黑体" w:eastAsia="黑体" w:cs="黑体"/>
          <w:b/>
          <w:bCs/>
          <w:color w:val="auto"/>
          <w:sz w:val="32"/>
          <w:szCs w:val="32"/>
        </w:rPr>
        <w:t>十一、专业名词解释</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2.“三公”经费支出：包括因公出国（境）费用、公务用车运行维护费用和公务接待费支出情况。</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3.基本支出：指为保障机构正常运转，完成日常工作任务而发生的各项支出。</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4.项目支出：指单位为完成特定的行政工作任务或事业发展目标所发生的。</w:t>
      </w:r>
    </w:p>
    <w:p>
      <w:pPr>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b/>
      </w:r>
      <w:r>
        <w:rPr>
          <w:rFonts w:hint="eastAsia" w:asciiTheme="minorEastAsia" w:hAnsiTheme="minorEastAsia" w:eastAsiaTheme="minorEastAsia" w:cstheme="minorEastAsia"/>
          <w:color w:val="auto"/>
          <w:sz w:val="28"/>
          <w:szCs w:val="28"/>
          <w:lang w:val="en-US" w:eastAsia="zh-CN"/>
        </w:rPr>
        <w:tab/>
      </w:r>
    </w:p>
    <w:p>
      <w:pPr>
        <w:ind w:firstLine="640"/>
        <w:rPr>
          <w:rFonts w:hint="eastAsia" w:asciiTheme="minorEastAsia" w:hAnsiTheme="minorEastAsia" w:eastAsiaTheme="minorEastAsia" w:cstheme="minorEastAsia"/>
          <w:color w:val="auto"/>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1CF37"/>
    <w:multiLevelType w:val="singleLevel"/>
    <w:tmpl w:val="BDE1CF37"/>
    <w:lvl w:ilvl="0" w:tentative="0">
      <w:start w:val="1"/>
      <w:numFmt w:val="decimal"/>
      <w:lvlText w:val="%1."/>
      <w:lvlJc w:val="left"/>
      <w:pPr>
        <w:tabs>
          <w:tab w:val="left" w:pos="312"/>
        </w:tabs>
      </w:pPr>
    </w:lvl>
  </w:abstractNum>
  <w:abstractNum w:abstractNumId="1">
    <w:nsid w:val="D5311B9E"/>
    <w:multiLevelType w:val="singleLevel"/>
    <w:tmpl w:val="D5311B9E"/>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F745F"/>
    <w:rsid w:val="00072CBA"/>
    <w:rsid w:val="005F2C61"/>
    <w:rsid w:val="005F42E4"/>
    <w:rsid w:val="00C00F40"/>
    <w:rsid w:val="044538BC"/>
    <w:rsid w:val="04A805C4"/>
    <w:rsid w:val="059F2A0D"/>
    <w:rsid w:val="08867E9A"/>
    <w:rsid w:val="09FD68C4"/>
    <w:rsid w:val="0DCB4BB8"/>
    <w:rsid w:val="0FB55AC4"/>
    <w:rsid w:val="116870AA"/>
    <w:rsid w:val="14C1360F"/>
    <w:rsid w:val="169C65B3"/>
    <w:rsid w:val="17C870C9"/>
    <w:rsid w:val="19F24C5F"/>
    <w:rsid w:val="1A25019A"/>
    <w:rsid w:val="1A6F701C"/>
    <w:rsid w:val="1BDD4E8B"/>
    <w:rsid w:val="1DC31186"/>
    <w:rsid w:val="217129FD"/>
    <w:rsid w:val="22EF6647"/>
    <w:rsid w:val="24E73B22"/>
    <w:rsid w:val="251554EC"/>
    <w:rsid w:val="2A452C34"/>
    <w:rsid w:val="2D3E4FD2"/>
    <w:rsid w:val="35A427DE"/>
    <w:rsid w:val="35A46EDD"/>
    <w:rsid w:val="377628CA"/>
    <w:rsid w:val="3A3E3EF7"/>
    <w:rsid w:val="3E2A25EB"/>
    <w:rsid w:val="3F7E18AC"/>
    <w:rsid w:val="45E5510A"/>
    <w:rsid w:val="460E1C13"/>
    <w:rsid w:val="4A076BC2"/>
    <w:rsid w:val="514C1BF3"/>
    <w:rsid w:val="521A35B4"/>
    <w:rsid w:val="56067571"/>
    <w:rsid w:val="562F2C38"/>
    <w:rsid w:val="589F30C4"/>
    <w:rsid w:val="5A402620"/>
    <w:rsid w:val="5DA716CE"/>
    <w:rsid w:val="5E1E048F"/>
    <w:rsid w:val="66A210E1"/>
    <w:rsid w:val="68581202"/>
    <w:rsid w:val="6A753CD8"/>
    <w:rsid w:val="6E3566E8"/>
    <w:rsid w:val="71610612"/>
    <w:rsid w:val="7A7B1A42"/>
    <w:rsid w:val="7A7F745F"/>
    <w:rsid w:val="7E06675D"/>
    <w:rsid w:val="7E953FD1"/>
    <w:rsid w:val="7FF8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qFormat/>
    <w:uiPriority w:val="0"/>
    <w:rPr>
      <w:rFonts w:ascii="Calibri" w:hAnsi="Calibri" w:cs="黑体"/>
      <w:kern w:val="2"/>
      <w:sz w:val="18"/>
      <w:szCs w:val="18"/>
    </w:rPr>
  </w:style>
  <w:style w:type="character" w:customStyle="1" w:styleId="8">
    <w:name w:val="页脚 字符"/>
    <w:basedOn w:val="6"/>
    <w:link w:val="2"/>
    <w:qFormat/>
    <w:uiPriority w:val="0"/>
    <w:rPr>
      <w:rFonts w:ascii="Calibri" w:hAnsi="Calibri" w:cs="黑体"/>
      <w:kern w:val="2"/>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0.3&#23457;&#35745;\2018-2020&#20915;&#31639;&#25968;&#25454;&#23548;&#20986;\&#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工作表.xls]Sheet1'!$A$2</c:f>
              <c:strCache>
                <c:ptCount val="1"/>
                <c:pt idx="0">
                  <c:v>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工作表.xls]Sheet1'!$B$1:$E$1</c:f>
              <c:strCache>
                <c:ptCount val="4"/>
                <c:pt idx="0">
                  <c:v>行政</c:v>
                </c:pt>
                <c:pt idx="1">
                  <c:v>事业</c:v>
                </c:pt>
                <c:pt idx="2">
                  <c:v>其他</c:v>
                </c:pt>
                <c:pt idx="3">
                  <c:v>退休</c:v>
                </c:pt>
              </c:strCache>
            </c:strRef>
          </c:cat>
          <c:val>
            <c:numRef>
              <c:f>'[新建 XLS 工作表.xls]Sheet1'!$B$2:$E$2</c:f>
              <c:numCache>
                <c:formatCode>General</c:formatCode>
                <c:ptCount val="4"/>
                <c:pt idx="0">
                  <c:v>18</c:v>
                </c:pt>
                <c:pt idx="1">
                  <c:v>36</c:v>
                </c:pt>
                <c:pt idx="2">
                  <c:v>62</c:v>
                </c:pt>
                <c:pt idx="3">
                  <c:v>20</c:v>
                </c:pt>
              </c:numCache>
            </c:numRef>
          </c:val>
        </c:ser>
        <c:dLbls>
          <c:showLegendKey val="0"/>
          <c:showVal val="1"/>
          <c:showCatName val="0"/>
          <c:showSerName val="0"/>
          <c:showPercent val="0"/>
          <c:showBubbleSize val="0"/>
        </c:dLbls>
        <c:gapWidth val="219"/>
        <c:overlap val="-27"/>
        <c:axId val="218419750"/>
        <c:axId val="727526643"/>
      </c:barChart>
      <c:catAx>
        <c:axId val="2184197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7526643"/>
        <c:crosses val="autoZero"/>
        <c:auto val="1"/>
        <c:lblAlgn val="ctr"/>
        <c:lblOffset val="100"/>
        <c:noMultiLvlLbl val="0"/>
      </c:catAx>
      <c:valAx>
        <c:axId val="7275266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4197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889</Words>
  <Characters>5073</Characters>
  <Lines>42</Lines>
  <Paragraphs>11</Paragraphs>
  <TotalTime>12</TotalTime>
  <ScaleCrop>false</ScaleCrop>
  <LinksUpToDate>false</LinksUpToDate>
  <CharactersWithSpaces>5951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2019-10-12T01:15:00Z</dcterms:created>
  <dc:creator>郭超(退回修改.)</dc:creator>
  <cp:lastModifiedBy>snow</cp:lastModifiedBy>
  <cp:lastPrinted>2021-03-11T04:31:00Z</cp:lastPrinted>
  <dcterms:modified xsi:type="dcterms:W3CDTF">2021-03-22T01:26:37Z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FCC11AEAFA3C4E918082B881108320EF</vt:lpwstr>
  </property>
</Properties>
</file>