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79B8" w14:textId="77777777" w:rsidR="00D66BB5" w:rsidRDefault="00E36CE4">
      <w:pPr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年部门预算公开</w:t>
      </w:r>
    </w:p>
    <w:p w14:paraId="69BD395E" w14:textId="77777777" w:rsidR="00D66BB5" w:rsidRDefault="00D66BB5">
      <w:pPr>
        <w:jc w:val="center"/>
        <w:rPr>
          <w:rFonts w:ascii="仿宋_GB2312" w:eastAsia="仿宋_GB2312" w:hAnsi="黑体"/>
          <w:sz w:val="32"/>
          <w:szCs w:val="32"/>
        </w:rPr>
      </w:pPr>
    </w:p>
    <w:p w14:paraId="1B4ECDD3" w14:textId="77777777" w:rsidR="00D66BB5" w:rsidRDefault="00E36CE4">
      <w:pPr>
        <w:jc w:val="center"/>
        <w:rPr>
          <w:rFonts w:ascii="楷体" w:eastAsia="楷体" w:hAnsi="楷体"/>
          <w:sz w:val="32"/>
          <w:szCs w:val="32"/>
        </w:rPr>
      </w:pPr>
      <w:proofErr w:type="gramStart"/>
      <w:r>
        <w:rPr>
          <w:rFonts w:ascii="楷体" w:eastAsia="楷体" w:hAnsi="楷体" w:hint="eastAsia"/>
          <w:sz w:val="32"/>
          <w:szCs w:val="32"/>
        </w:rPr>
        <w:t>沣西文物</w:t>
      </w:r>
      <w:r>
        <w:rPr>
          <w:rFonts w:ascii="楷体" w:eastAsia="楷体" w:hAnsi="楷体" w:hint="eastAsia"/>
          <w:sz w:val="32"/>
          <w:szCs w:val="32"/>
        </w:rPr>
        <w:t>局</w:t>
      </w:r>
      <w:r>
        <w:rPr>
          <w:rFonts w:ascii="楷体" w:eastAsia="楷体" w:hAnsi="楷体" w:hint="eastAsia"/>
          <w:sz w:val="32"/>
          <w:szCs w:val="32"/>
        </w:rPr>
        <w:t>2021</w:t>
      </w:r>
      <w:r>
        <w:rPr>
          <w:rFonts w:ascii="楷体" w:eastAsia="楷体" w:hAnsi="楷体" w:hint="eastAsia"/>
          <w:sz w:val="32"/>
          <w:szCs w:val="32"/>
        </w:rPr>
        <w:t>年</w:t>
      </w:r>
      <w:proofErr w:type="gramEnd"/>
      <w:r>
        <w:rPr>
          <w:rFonts w:ascii="楷体" w:eastAsia="楷体" w:hAnsi="楷体" w:hint="eastAsia"/>
          <w:sz w:val="32"/>
          <w:szCs w:val="32"/>
        </w:rPr>
        <w:t>部门综合预算</w:t>
      </w:r>
    </w:p>
    <w:p w14:paraId="393AE91A" w14:textId="77777777" w:rsidR="00D66BB5" w:rsidRDefault="00D66BB5">
      <w:pPr>
        <w:rPr>
          <w:rFonts w:ascii="仿宋_GB2312" w:eastAsia="仿宋_GB2312"/>
          <w:sz w:val="32"/>
          <w:szCs w:val="32"/>
        </w:rPr>
      </w:pPr>
    </w:p>
    <w:p w14:paraId="240D4EEF" w14:textId="77777777" w:rsidR="00D66BB5" w:rsidRDefault="00E36CE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目录</w:t>
      </w:r>
    </w:p>
    <w:p w14:paraId="2D99DB0D" w14:textId="77777777" w:rsidR="00D66BB5" w:rsidRDefault="00E36CE4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第一部分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</w:rPr>
        <w:t>部门概况</w:t>
      </w:r>
    </w:p>
    <w:p w14:paraId="02754C5B" w14:textId="77777777" w:rsidR="00D66BB5" w:rsidRDefault="00E36CE4">
      <w:pPr>
        <w:jc w:val="left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一、部门主要职责及机构设置</w:t>
      </w:r>
    </w:p>
    <w:p w14:paraId="68FEEF3C" w14:textId="77777777" w:rsidR="00D66BB5" w:rsidRDefault="00E36CE4">
      <w:pPr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二、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2021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年年度部门工作任务</w:t>
      </w:r>
    </w:p>
    <w:p w14:paraId="172CC923" w14:textId="77777777" w:rsidR="00D66BB5" w:rsidRDefault="00E36CE4">
      <w:pPr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三、部门预算单位构成</w:t>
      </w:r>
    </w:p>
    <w:p w14:paraId="2C2D0341" w14:textId="77777777" w:rsidR="00D66BB5" w:rsidRDefault="00E36CE4">
      <w:pPr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四、部门人员情况说明</w:t>
      </w:r>
    </w:p>
    <w:p w14:paraId="55E2AFA6" w14:textId="77777777" w:rsidR="00D66BB5" w:rsidRDefault="00E36CE4">
      <w:pPr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第二部分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2"/>
        </w:rPr>
        <w:t>收支情况</w:t>
      </w:r>
    </w:p>
    <w:p w14:paraId="747967BE" w14:textId="77777777" w:rsidR="00D66BB5" w:rsidRDefault="00E36CE4">
      <w:pPr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五、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2021</w:t>
      </w:r>
      <w:r>
        <w:rPr>
          <w:rFonts w:ascii="仿宋_GB2312" w:eastAsia="仿宋_GB2312" w:hAnsiTheme="minorEastAsia" w:cstheme="minorEastAsia" w:hint="eastAsia"/>
          <w:sz w:val="32"/>
          <w:szCs w:val="32"/>
        </w:rPr>
        <w:t>年部门预算收支说明</w:t>
      </w:r>
    </w:p>
    <w:p w14:paraId="708DC833" w14:textId="77777777" w:rsidR="00D66BB5" w:rsidRDefault="00E36CE4">
      <w:pPr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第三部分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bCs/>
          <w:sz w:val="32"/>
          <w:szCs w:val="32"/>
        </w:rPr>
        <w:t>其他说明情况</w:t>
      </w:r>
    </w:p>
    <w:p w14:paraId="0A464730" w14:textId="77777777" w:rsidR="00D66BB5" w:rsidRDefault="00E36CE4">
      <w:pPr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六、部门预算“三公”经费等情况说明</w:t>
      </w:r>
    </w:p>
    <w:p w14:paraId="4525BD40" w14:textId="77777777" w:rsidR="00D66BB5" w:rsidRDefault="00E36CE4">
      <w:pPr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七、部门国有资产占有使用及资产购置情况说明</w:t>
      </w:r>
    </w:p>
    <w:p w14:paraId="53DA1EA9" w14:textId="77777777" w:rsidR="00D66BB5" w:rsidRDefault="00E36CE4">
      <w:pPr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八、部门政府采购情况说明</w:t>
      </w:r>
    </w:p>
    <w:p w14:paraId="71D70E23" w14:textId="77777777" w:rsidR="00D66BB5" w:rsidRDefault="00E36CE4">
      <w:pPr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九、部门预算绩效目标说明</w:t>
      </w:r>
    </w:p>
    <w:p w14:paraId="62463F43" w14:textId="77777777" w:rsidR="00D66BB5" w:rsidRDefault="00E36CE4">
      <w:pPr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十、机关运行经费安排说明</w:t>
      </w:r>
    </w:p>
    <w:p w14:paraId="3BF5D292" w14:textId="77777777" w:rsidR="00D66BB5" w:rsidRDefault="00E36CE4">
      <w:pPr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十一、专业名词解释</w:t>
      </w:r>
    </w:p>
    <w:p w14:paraId="609BEDB9" w14:textId="77777777" w:rsidR="00D66BB5" w:rsidRDefault="00E36CE4">
      <w:pPr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第四部分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 </w:t>
      </w:r>
      <w:r>
        <w:rPr>
          <w:rFonts w:ascii="黑体" w:eastAsia="黑体" w:hAnsi="黑体" w:hint="eastAsia"/>
          <w:b/>
          <w:bCs/>
          <w:sz w:val="32"/>
          <w:szCs w:val="32"/>
        </w:rPr>
        <w:t>公开报表</w:t>
      </w:r>
    </w:p>
    <w:p w14:paraId="58FBC55F" w14:textId="77777777" w:rsidR="00D66BB5" w:rsidRDefault="00E36CE4">
      <w:pPr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sz w:val="32"/>
          <w:szCs w:val="32"/>
        </w:rPr>
        <w:t>（具体部门预算公开报表）</w:t>
      </w:r>
    </w:p>
    <w:p w14:paraId="4DCFAE52" w14:textId="77777777" w:rsidR="00D66BB5" w:rsidRDefault="00D66BB5">
      <w:pPr>
        <w:jc w:val="center"/>
        <w:rPr>
          <w:rFonts w:ascii="仿宋_GB2312" w:eastAsia="仿宋_GB2312" w:hAnsiTheme="majorEastAsia" w:cstheme="majorEastAsia"/>
          <w:b/>
          <w:bCs/>
          <w:sz w:val="32"/>
          <w:szCs w:val="32"/>
        </w:rPr>
      </w:pPr>
    </w:p>
    <w:p w14:paraId="335F4D57" w14:textId="77777777" w:rsidR="00D66BB5" w:rsidRDefault="00E36CE4">
      <w:pPr>
        <w:jc w:val="center"/>
        <w:rPr>
          <w:rFonts w:ascii="仿宋_GB2312" w:eastAsia="仿宋_GB2312" w:hAnsiTheme="majorEastAsia" w:cstheme="majorEastAsia"/>
          <w:b/>
          <w:bCs/>
          <w:sz w:val="32"/>
          <w:szCs w:val="32"/>
        </w:rPr>
      </w:pPr>
      <w:r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  <w:lastRenderedPageBreak/>
        <w:t>第一部分</w:t>
      </w:r>
      <w:r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Theme="majorEastAsia" w:cstheme="majorEastAsia" w:hint="eastAsia"/>
          <w:b/>
          <w:bCs/>
          <w:sz w:val="32"/>
          <w:szCs w:val="32"/>
        </w:rPr>
        <w:t>部门概况</w:t>
      </w:r>
    </w:p>
    <w:p w14:paraId="6A26DC5E" w14:textId="77777777" w:rsidR="00D66BB5" w:rsidRDefault="00E36C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</w:p>
    <w:p w14:paraId="6FE0F336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一、部门主要职责及机构设置</w:t>
      </w:r>
    </w:p>
    <w:p w14:paraId="23DF627E" w14:textId="77777777" w:rsidR="00D66BB5" w:rsidRDefault="00E36C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我单位是陕西省西咸新区</w:t>
      </w:r>
      <w:proofErr w:type="gramStart"/>
      <w:r>
        <w:rPr>
          <w:rFonts w:ascii="仿宋_GB2312" w:eastAsia="仿宋_GB2312" w:hint="eastAsia"/>
          <w:sz w:val="32"/>
          <w:szCs w:val="32"/>
        </w:rPr>
        <w:t>沣</w:t>
      </w:r>
      <w:proofErr w:type="gramEnd"/>
      <w:r>
        <w:rPr>
          <w:rFonts w:ascii="仿宋_GB2312" w:eastAsia="仿宋_GB2312" w:hint="eastAsia"/>
          <w:sz w:val="32"/>
          <w:szCs w:val="32"/>
        </w:rPr>
        <w:t>西新城管理委员会下设机关单位，目前主要职能是辖区内文物保护、文物规划、打击辖区内文物犯罪等违法行为。文物</w:t>
      </w:r>
      <w:r>
        <w:rPr>
          <w:rFonts w:ascii="仿宋_GB2312" w:eastAsia="仿宋_GB2312"/>
          <w:sz w:val="32"/>
          <w:szCs w:val="32"/>
        </w:rPr>
        <w:t>局下设两个</w:t>
      </w:r>
      <w:r>
        <w:rPr>
          <w:rFonts w:ascii="仿宋_GB2312" w:eastAsia="仿宋_GB2312" w:hint="eastAsia"/>
          <w:sz w:val="32"/>
          <w:szCs w:val="32"/>
        </w:rPr>
        <w:t>二级</w:t>
      </w:r>
      <w:r>
        <w:rPr>
          <w:rFonts w:ascii="仿宋_GB2312" w:eastAsia="仿宋_GB2312"/>
          <w:sz w:val="32"/>
          <w:szCs w:val="32"/>
        </w:rPr>
        <w:t>预算单位，科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/>
          <w:sz w:val="32"/>
          <w:szCs w:val="32"/>
        </w:rPr>
        <w:t>建制，分别为</w:t>
      </w:r>
      <w:r>
        <w:rPr>
          <w:rFonts w:ascii="仿宋" w:eastAsia="仿宋" w:hAnsi="仿宋" w:cs="仿宋" w:hint="eastAsia"/>
          <w:sz w:val="32"/>
        </w:rPr>
        <w:t>秦都区沙河古桥遗址旅游文物管理所、西安市鄠</w:t>
      </w:r>
      <w:proofErr w:type="gramStart"/>
      <w:r>
        <w:rPr>
          <w:rFonts w:ascii="仿宋" w:eastAsia="仿宋" w:hAnsi="仿宋" w:cs="仿宋" w:hint="eastAsia"/>
          <w:sz w:val="32"/>
        </w:rPr>
        <w:t>邑区兆伦钟</w:t>
      </w:r>
      <w:proofErr w:type="gramEnd"/>
      <w:r>
        <w:rPr>
          <w:rFonts w:ascii="仿宋" w:eastAsia="仿宋" w:hAnsi="仿宋" w:cs="仿宋" w:hint="eastAsia"/>
          <w:sz w:val="32"/>
        </w:rPr>
        <w:t>官铸钱遗址博物馆。</w:t>
      </w:r>
    </w:p>
    <w:p w14:paraId="4BD249A0" w14:textId="77777777" w:rsidR="00D66BB5" w:rsidRDefault="00E36CE4">
      <w:pPr>
        <w:ind w:firstLine="64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二、</w:t>
      </w:r>
      <w:r>
        <w:rPr>
          <w:rFonts w:ascii="黑体" w:eastAsia="黑体" w:hAnsi="黑体" w:hint="eastAsia"/>
          <w:b/>
          <w:bCs/>
          <w:sz w:val="32"/>
          <w:szCs w:val="32"/>
        </w:rPr>
        <w:t>2021</w:t>
      </w:r>
      <w:r>
        <w:rPr>
          <w:rFonts w:ascii="黑体" w:eastAsia="黑体" w:hAnsi="黑体" w:hint="eastAsia"/>
          <w:b/>
          <w:bCs/>
          <w:sz w:val="32"/>
          <w:szCs w:val="32"/>
        </w:rPr>
        <w:t>年度部门工作任务</w:t>
      </w:r>
    </w:p>
    <w:p w14:paraId="5D5F4E66" w14:textId="77777777" w:rsidR="00D66BB5" w:rsidRDefault="00E36CE4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</w:t>
      </w:r>
      <w:r>
        <w:rPr>
          <w:rFonts w:eastAsia="仿宋_GB2312"/>
          <w:sz w:val="32"/>
          <w:szCs w:val="32"/>
        </w:rPr>
        <w:t>确保文物安全，明确保护范围，</w:t>
      </w:r>
      <w:r>
        <w:rPr>
          <w:rFonts w:eastAsia="仿宋_GB2312" w:hint="eastAsia"/>
          <w:sz w:val="32"/>
          <w:szCs w:val="32"/>
        </w:rPr>
        <w:t>两国保</w:t>
      </w:r>
      <w:r>
        <w:rPr>
          <w:rFonts w:eastAsia="仿宋_GB2312"/>
          <w:sz w:val="32"/>
          <w:szCs w:val="32"/>
        </w:rPr>
        <w:t>级文物</w:t>
      </w:r>
      <w:proofErr w:type="gramStart"/>
      <w:r>
        <w:rPr>
          <w:rFonts w:eastAsia="仿宋_GB2312"/>
          <w:sz w:val="32"/>
          <w:szCs w:val="32"/>
        </w:rPr>
        <w:t>点兆伦</w:t>
      </w:r>
      <w:r>
        <w:rPr>
          <w:rFonts w:eastAsia="仿宋_GB2312" w:hint="eastAsia"/>
          <w:sz w:val="32"/>
          <w:szCs w:val="32"/>
        </w:rPr>
        <w:t>钟</w:t>
      </w:r>
      <w:proofErr w:type="gramEnd"/>
      <w:r>
        <w:rPr>
          <w:rFonts w:eastAsia="仿宋_GB2312" w:hint="eastAsia"/>
          <w:sz w:val="32"/>
          <w:szCs w:val="32"/>
        </w:rPr>
        <w:t>官铸钱遗址</w:t>
      </w:r>
      <w:r>
        <w:rPr>
          <w:rFonts w:eastAsia="仿宋_GB2312"/>
          <w:sz w:val="32"/>
          <w:szCs w:val="32"/>
        </w:rPr>
        <w:t>与沙河遗址</w:t>
      </w:r>
      <w:r>
        <w:rPr>
          <w:rFonts w:eastAsia="仿宋_GB2312" w:hint="eastAsia"/>
          <w:sz w:val="32"/>
          <w:szCs w:val="32"/>
        </w:rPr>
        <w:t>文物点</w:t>
      </w:r>
      <w:r>
        <w:rPr>
          <w:rFonts w:eastAsia="仿宋_GB2312"/>
          <w:sz w:val="32"/>
          <w:szCs w:val="32"/>
        </w:rPr>
        <w:t>，开展考古勘探工作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按照《西咸新区土地供应前考古调查和勘探工作管理流程》开展文</w:t>
      </w:r>
      <w:proofErr w:type="gramStart"/>
      <w:r>
        <w:rPr>
          <w:rFonts w:eastAsia="仿宋_GB2312"/>
          <w:sz w:val="32"/>
          <w:szCs w:val="32"/>
        </w:rPr>
        <w:t>勘</w:t>
      </w:r>
      <w:proofErr w:type="gramEnd"/>
      <w:r>
        <w:rPr>
          <w:rFonts w:eastAsia="仿宋_GB2312"/>
          <w:sz w:val="32"/>
          <w:szCs w:val="32"/>
        </w:rPr>
        <w:t>前置工作</w:t>
      </w:r>
      <w:r>
        <w:rPr>
          <w:rFonts w:eastAsia="仿宋_GB2312" w:hint="eastAsia"/>
          <w:sz w:val="32"/>
          <w:szCs w:val="32"/>
        </w:rPr>
        <w:t>。</w:t>
      </w:r>
    </w:p>
    <w:p w14:paraId="2C4F7FA4" w14:textId="77777777" w:rsidR="00D66BB5" w:rsidRDefault="00E36CE4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．切实</w:t>
      </w:r>
      <w:r>
        <w:rPr>
          <w:rFonts w:eastAsia="仿宋_GB2312"/>
          <w:sz w:val="32"/>
          <w:szCs w:val="32"/>
        </w:rPr>
        <w:t>加强文物保护各项</w:t>
      </w:r>
      <w:r>
        <w:rPr>
          <w:rFonts w:eastAsia="仿宋_GB2312" w:hint="eastAsia"/>
          <w:sz w:val="32"/>
          <w:szCs w:val="32"/>
        </w:rPr>
        <w:t>防控</w:t>
      </w:r>
      <w:r>
        <w:rPr>
          <w:rFonts w:eastAsia="仿宋_GB2312"/>
          <w:sz w:val="32"/>
          <w:szCs w:val="32"/>
        </w:rPr>
        <w:t>工作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开展</w:t>
      </w:r>
      <w:r>
        <w:rPr>
          <w:rFonts w:eastAsia="仿宋_GB2312" w:hint="eastAsia"/>
          <w:sz w:val="32"/>
          <w:szCs w:val="32"/>
        </w:rPr>
        <w:t>各类</w:t>
      </w:r>
      <w:r>
        <w:rPr>
          <w:rFonts w:eastAsia="仿宋_GB2312"/>
          <w:sz w:val="32"/>
          <w:szCs w:val="32"/>
        </w:rPr>
        <w:t>活动。</w:t>
      </w:r>
    </w:p>
    <w:p w14:paraId="00E06F3A" w14:textId="77777777" w:rsidR="00D66BB5" w:rsidRDefault="00E36CE4">
      <w:pPr>
        <w:ind w:firstLine="64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三、部门预算单位构成</w:t>
      </w:r>
    </w:p>
    <w:p w14:paraId="3D17C3D6" w14:textId="77777777" w:rsidR="00D66BB5" w:rsidRDefault="00E36C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从预算单位构成看，纳入本部门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年部门预算编制范围的二级预算单位共有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个具体见下表所列</w:t>
      </w:r>
      <w:r>
        <w:rPr>
          <w:rFonts w:ascii="仿宋_GB2312" w:eastAsia="仿宋_GB2312" w:hint="eastAsia"/>
          <w:sz w:val="32"/>
          <w:szCs w:val="32"/>
        </w:rPr>
        <w:t xml:space="preserve">: </w:t>
      </w:r>
    </w:p>
    <w:tbl>
      <w:tblPr>
        <w:tblW w:w="6941" w:type="dxa"/>
        <w:jc w:val="center"/>
        <w:tblLayout w:type="fixed"/>
        <w:tblCellMar>
          <w:bottom w:w="80" w:type="dxa"/>
          <w:right w:w="115" w:type="dxa"/>
        </w:tblCellMar>
        <w:tblLook w:val="04A0" w:firstRow="1" w:lastRow="0" w:firstColumn="1" w:lastColumn="0" w:noHBand="0" w:noVBand="1"/>
      </w:tblPr>
      <w:tblGrid>
        <w:gridCol w:w="1143"/>
        <w:gridCol w:w="5798"/>
      </w:tblGrid>
      <w:tr w:rsidR="00D66BB5" w14:paraId="06085ECE" w14:textId="77777777">
        <w:trPr>
          <w:trHeight w:val="610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0B252" w14:textId="77777777" w:rsidR="00D66BB5" w:rsidRDefault="00E36CE4">
            <w:pPr>
              <w:jc w:val="center"/>
            </w:pPr>
            <w:r>
              <w:rPr>
                <w:rFonts w:ascii="仿宋" w:eastAsia="仿宋" w:hAnsi="仿宋" w:cs="仿宋"/>
                <w:sz w:val="32"/>
              </w:rPr>
              <w:t>序号</w:t>
            </w:r>
            <w:r>
              <w:rPr>
                <w:rFonts w:ascii="仿宋" w:eastAsia="仿宋" w:hAnsi="仿宋" w:cs="仿宋"/>
                <w:sz w:val="32"/>
              </w:rPr>
              <w:t xml:space="preserve"> 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5E755" w14:textId="77777777" w:rsidR="00D66BB5" w:rsidRDefault="00E36CE4">
            <w:pPr>
              <w:jc w:val="center"/>
            </w:pPr>
            <w:r>
              <w:rPr>
                <w:rFonts w:ascii="仿宋" w:eastAsia="仿宋" w:hAnsi="仿宋" w:cs="仿宋"/>
                <w:sz w:val="32"/>
              </w:rPr>
              <w:t>单位名称</w:t>
            </w:r>
            <w:r>
              <w:rPr>
                <w:rFonts w:ascii="仿宋" w:eastAsia="仿宋" w:hAnsi="仿宋" w:cs="仿宋"/>
                <w:sz w:val="32"/>
              </w:rPr>
              <w:t xml:space="preserve"> </w:t>
            </w:r>
          </w:p>
        </w:tc>
      </w:tr>
      <w:tr w:rsidR="00D66BB5" w14:paraId="236D85B5" w14:textId="77777777">
        <w:trPr>
          <w:trHeight w:val="610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9BDC9" w14:textId="77777777" w:rsidR="00D66BB5" w:rsidRDefault="00E36CE4">
            <w:pPr>
              <w:jc w:val="center"/>
            </w:pPr>
            <w:r>
              <w:rPr>
                <w:rFonts w:ascii="仿宋" w:eastAsia="仿宋" w:hAnsi="仿宋" w:cs="仿宋"/>
                <w:sz w:val="32"/>
              </w:rPr>
              <w:t xml:space="preserve">1 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27D4A" w14:textId="77777777" w:rsidR="00D66BB5" w:rsidRDefault="00E36CE4">
            <w:r>
              <w:rPr>
                <w:rFonts w:ascii="仿宋" w:eastAsia="仿宋" w:hAnsi="仿宋" w:cs="仿宋" w:hint="eastAsia"/>
                <w:sz w:val="32"/>
              </w:rPr>
              <w:t>咸阳</w:t>
            </w:r>
            <w:r>
              <w:rPr>
                <w:rFonts w:ascii="仿宋" w:eastAsia="仿宋" w:hAnsi="仿宋" w:cs="仿宋"/>
                <w:sz w:val="32"/>
              </w:rPr>
              <w:t>市</w:t>
            </w:r>
            <w:r>
              <w:rPr>
                <w:rFonts w:ascii="仿宋" w:eastAsia="仿宋" w:hAnsi="仿宋" w:cs="仿宋" w:hint="eastAsia"/>
                <w:sz w:val="32"/>
              </w:rPr>
              <w:t>秦都区沙河古桥遗址文物管理所</w:t>
            </w:r>
          </w:p>
        </w:tc>
      </w:tr>
      <w:tr w:rsidR="00D66BB5" w14:paraId="016C3F06" w14:textId="77777777">
        <w:trPr>
          <w:trHeight w:val="612"/>
          <w:jc w:val="center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F341D" w14:textId="77777777" w:rsidR="00D66BB5" w:rsidRDefault="00E36CE4">
            <w:pPr>
              <w:jc w:val="center"/>
            </w:pPr>
            <w:r>
              <w:rPr>
                <w:rFonts w:ascii="仿宋" w:eastAsia="仿宋" w:hAnsi="仿宋" w:cs="仿宋"/>
                <w:sz w:val="32"/>
              </w:rPr>
              <w:t xml:space="preserve">2 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F21B0" w14:textId="77777777" w:rsidR="00D66BB5" w:rsidRDefault="00E36CE4">
            <w:r>
              <w:rPr>
                <w:rFonts w:ascii="仿宋" w:eastAsia="仿宋" w:hAnsi="仿宋" w:cs="仿宋" w:hint="eastAsia"/>
                <w:sz w:val="32"/>
              </w:rPr>
              <w:t>西安市鄠</w:t>
            </w:r>
            <w:proofErr w:type="gramStart"/>
            <w:r>
              <w:rPr>
                <w:rFonts w:ascii="仿宋" w:eastAsia="仿宋" w:hAnsi="仿宋" w:cs="仿宋" w:hint="eastAsia"/>
                <w:sz w:val="32"/>
              </w:rPr>
              <w:t>邑区兆伦钟</w:t>
            </w:r>
            <w:proofErr w:type="gramEnd"/>
            <w:r>
              <w:rPr>
                <w:rFonts w:ascii="仿宋" w:eastAsia="仿宋" w:hAnsi="仿宋" w:cs="仿宋" w:hint="eastAsia"/>
                <w:sz w:val="32"/>
              </w:rPr>
              <w:t>官铸钱遗址博物馆</w:t>
            </w:r>
          </w:p>
        </w:tc>
      </w:tr>
    </w:tbl>
    <w:p w14:paraId="30BA73BD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四、部门人员情况说明</w:t>
      </w:r>
    </w:p>
    <w:p w14:paraId="7BF6FA17" w14:textId="77777777" w:rsidR="00D66BB5" w:rsidRDefault="00E36C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截止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年底，本部门辖区单位人员编制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人，其中行政编制</w:t>
      </w:r>
      <w:r>
        <w:rPr>
          <w:rFonts w:ascii="仿宋_GB2312" w:eastAsia="仿宋_GB2312" w:hint="eastAsia"/>
          <w:sz w:val="32"/>
          <w:szCs w:val="32"/>
        </w:rPr>
        <w:t xml:space="preserve">0 </w:t>
      </w:r>
      <w:r>
        <w:rPr>
          <w:rFonts w:ascii="仿宋_GB2312" w:eastAsia="仿宋_GB2312" w:hint="eastAsia"/>
          <w:sz w:val="32"/>
          <w:szCs w:val="32"/>
        </w:rPr>
        <w:t>人、事业编制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人，其他人员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人；实有在职</w:t>
      </w:r>
      <w:r>
        <w:rPr>
          <w:rFonts w:ascii="仿宋_GB2312" w:eastAsia="仿宋_GB2312" w:hint="eastAsia"/>
          <w:sz w:val="32"/>
          <w:szCs w:val="32"/>
        </w:rPr>
        <w:lastRenderedPageBreak/>
        <w:t>人员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人，其中行政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人、事业</w:t>
      </w: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人、其他人员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人、离退休人员</w:t>
      </w:r>
      <w:r>
        <w:rPr>
          <w:rFonts w:ascii="仿宋_GB2312" w:eastAsia="仿宋_GB2312" w:hint="eastAsia"/>
          <w:sz w:val="32"/>
          <w:szCs w:val="32"/>
        </w:rPr>
        <w:t xml:space="preserve"> 1</w:t>
      </w:r>
      <w:r>
        <w:rPr>
          <w:rFonts w:ascii="仿宋_GB2312" w:eastAsia="仿宋_GB2312" w:hint="eastAsia"/>
          <w:sz w:val="32"/>
          <w:szCs w:val="32"/>
        </w:rPr>
        <w:t>人。</w:t>
      </w:r>
    </w:p>
    <w:p w14:paraId="4CE5474B" w14:textId="77777777" w:rsidR="00D66BB5" w:rsidRDefault="00E36CE4">
      <w:pPr>
        <w:tabs>
          <w:tab w:val="left" w:pos="318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position w:val="-22"/>
          <w:sz w:val="32"/>
          <w:szCs w:val="32"/>
        </w:rPr>
        <w:object w:dxaOrig="1440" w:dyaOrig="1440" w14:anchorId="526FA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10.25pt;margin-top:23.75pt;width:601.5pt;height:151.25pt;z-index:251658240;mso-width-relative:page;mso-height-relative:page" o:allowincell="f">
            <v:imagedata r:id="rId6" o:title=""/>
          </v:shape>
          <o:OLEObject Type="Embed" ProgID="MSGraph.Chart.8" ShapeID="_x0000_s1027" DrawAspect="Content" ObjectID="_1678015490" r:id="rId7"/>
        </w:object>
      </w:r>
      <w:r>
        <w:rPr>
          <w:rFonts w:ascii="仿宋_GB2312" w:eastAsia="仿宋_GB2312"/>
          <w:sz w:val="32"/>
          <w:szCs w:val="32"/>
        </w:rPr>
        <w:tab/>
      </w:r>
    </w:p>
    <w:p w14:paraId="12ECDEF1" w14:textId="77777777" w:rsidR="00D66BB5" w:rsidRDefault="00D66BB5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4317D19" w14:textId="77777777" w:rsidR="00D66BB5" w:rsidRDefault="00D66BB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998EEBE" w14:textId="77777777" w:rsidR="00D66BB5" w:rsidRDefault="00D66BB5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1B0BAD84" w14:textId="77777777" w:rsidR="00D66BB5" w:rsidRDefault="00D66BB5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A0C672A" w14:textId="77777777" w:rsidR="00D66BB5" w:rsidRDefault="00D66BB5">
      <w:pPr>
        <w:ind w:firstLine="640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38DE714D" w14:textId="77777777" w:rsidR="00D66BB5" w:rsidRDefault="00D66BB5">
      <w:pPr>
        <w:ind w:firstLine="640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48AD75E8" w14:textId="77777777" w:rsidR="00D66BB5" w:rsidRDefault="00D66BB5">
      <w:pPr>
        <w:ind w:firstLine="640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41912471" w14:textId="77777777" w:rsidR="00D66BB5" w:rsidRDefault="00E36CE4">
      <w:pPr>
        <w:ind w:firstLine="640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第二部分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收支情况</w:t>
      </w:r>
    </w:p>
    <w:p w14:paraId="782FD0C0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年部门预算收支说明</w:t>
      </w:r>
    </w:p>
    <w:p w14:paraId="5D683D73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（一）收支预算总体情况。</w:t>
      </w:r>
    </w:p>
    <w:p w14:paraId="030A4D9B" w14:textId="77777777" w:rsidR="00D66BB5" w:rsidRDefault="00E36CE4">
      <w:pPr>
        <w:snapToGrid w:val="0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20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年本部门预算收入</w:t>
      </w:r>
      <w:r>
        <w:rPr>
          <w:rFonts w:ascii="仿宋_GB2312" w:eastAsia="仿宋_GB2312" w:hAnsi="黑体" w:hint="eastAsia"/>
          <w:sz w:val="32"/>
          <w:szCs w:val="32"/>
        </w:rPr>
        <w:t>498.0192</w:t>
      </w:r>
      <w:r>
        <w:rPr>
          <w:rFonts w:ascii="仿宋_GB2312" w:eastAsia="仿宋_GB2312" w:hAnsi="黑体" w:hint="eastAsia"/>
          <w:sz w:val="32"/>
          <w:szCs w:val="32"/>
        </w:rPr>
        <w:t>万元，部门预算支出</w:t>
      </w:r>
      <w:r>
        <w:rPr>
          <w:rFonts w:ascii="仿宋_GB2312" w:eastAsia="仿宋_GB2312" w:hAnsi="黑体" w:hint="eastAsia"/>
          <w:sz w:val="32"/>
          <w:szCs w:val="32"/>
        </w:rPr>
        <w:t>498.0192</w:t>
      </w:r>
      <w:r>
        <w:rPr>
          <w:rFonts w:ascii="仿宋_GB2312" w:eastAsia="仿宋_GB2312" w:hAnsi="黑体" w:hint="eastAsia"/>
          <w:sz w:val="32"/>
          <w:szCs w:val="32"/>
        </w:rPr>
        <w:t>万元，其中一般公共预算拨款支出</w:t>
      </w:r>
      <w:r>
        <w:rPr>
          <w:rFonts w:ascii="仿宋_GB2312" w:eastAsia="仿宋_GB2312" w:hAnsi="黑体" w:hint="eastAsia"/>
          <w:sz w:val="32"/>
          <w:szCs w:val="32"/>
        </w:rPr>
        <w:t>498.0192</w:t>
      </w:r>
      <w:r>
        <w:rPr>
          <w:rFonts w:ascii="仿宋_GB2312" w:eastAsia="仿宋_GB2312" w:hAnsi="黑体" w:hint="eastAsia"/>
          <w:sz w:val="32"/>
          <w:szCs w:val="32"/>
        </w:rPr>
        <w:t>万元。</w:t>
      </w:r>
      <w:r>
        <w:rPr>
          <w:rFonts w:ascii="仿宋_GB2312" w:eastAsia="仿宋_GB2312" w:hAnsi="黑体"/>
          <w:sz w:val="32"/>
          <w:szCs w:val="32"/>
        </w:rPr>
        <w:t>202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年本部门</w:t>
      </w:r>
      <w:r>
        <w:rPr>
          <w:rFonts w:ascii="仿宋_GB2312" w:eastAsia="仿宋_GB2312" w:hAnsi="黑体"/>
          <w:sz w:val="32"/>
          <w:szCs w:val="32"/>
        </w:rPr>
        <w:t>预算支出较上年</w:t>
      </w:r>
      <w:r>
        <w:rPr>
          <w:rFonts w:ascii="仿宋_GB2312" w:eastAsia="仿宋_GB2312" w:hAnsi="黑体" w:hint="eastAsia"/>
          <w:sz w:val="32"/>
          <w:szCs w:val="32"/>
        </w:rPr>
        <w:t>增加</w:t>
      </w:r>
      <w:r>
        <w:rPr>
          <w:rFonts w:ascii="仿宋_GB2312" w:eastAsia="仿宋_GB2312" w:hAnsi="黑体" w:hint="eastAsia"/>
          <w:sz w:val="32"/>
          <w:szCs w:val="32"/>
        </w:rPr>
        <w:t>87.8892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仿宋_GB2312" w:eastAsia="仿宋_GB2312" w:hAnsi="黑体"/>
          <w:sz w:val="32"/>
          <w:szCs w:val="32"/>
        </w:rPr>
        <w:t>，主要原因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2021</w:t>
      </w:r>
      <w:r>
        <w:rPr>
          <w:rFonts w:ascii="仿宋_GB2312" w:eastAsia="仿宋_GB2312" w:hAnsi="黑体" w:hint="eastAsia"/>
          <w:sz w:val="32"/>
          <w:szCs w:val="32"/>
        </w:rPr>
        <w:t>年两所人员正常晋升，工资调整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补缴养老保险及医疗保险</w:t>
      </w:r>
      <w:r>
        <w:rPr>
          <w:rFonts w:ascii="仿宋_GB2312" w:eastAsia="仿宋_GB2312" w:hAnsi="黑体"/>
          <w:sz w:val="32"/>
          <w:szCs w:val="32"/>
        </w:rPr>
        <w:t>。</w:t>
      </w:r>
    </w:p>
    <w:p w14:paraId="3D4FEB35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32"/>
          <w:szCs w:val="32"/>
        </w:rPr>
        <w:t>二）财政拨款收支情况。</w:t>
      </w:r>
    </w:p>
    <w:p w14:paraId="3DFF1710" w14:textId="77777777" w:rsidR="00D66BB5" w:rsidRDefault="00E36CE4">
      <w:pPr>
        <w:snapToGrid w:val="0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年本部门财政拨款收入</w:t>
      </w:r>
      <w:r>
        <w:rPr>
          <w:rFonts w:ascii="仿宋_GB2312" w:eastAsia="仿宋_GB2312" w:hAnsi="黑体" w:hint="eastAsia"/>
          <w:sz w:val="32"/>
          <w:szCs w:val="32"/>
        </w:rPr>
        <w:t>498.0192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部门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支出</w:t>
      </w:r>
      <w:r>
        <w:rPr>
          <w:rFonts w:ascii="仿宋_GB2312" w:eastAsia="仿宋_GB2312" w:hAnsi="黑体" w:hint="eastAsia"/>
          <w:sz w:val="32"/>
          <w:szCs w:val="32"/>
        </w:rPr>
        <w:t>498.0192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其中一般公共预算拨款收入</w:t>
      </w:r>
      <w:r>
        <w:rPr>
          <w:rFonts w:ascii="仿宋_GB2312" w:eastAsia="仿宋_GB2312" w:hAnsi="黑体" w:hint="eastAsia"/>
          <w:sz w:val="32"/>
          <w:szCs w:val="32"/>
        </w:rPr>
        <w:t>498.0192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年本部门财政拨款收入较上年增加</w:t>
      </w:r>
      <w:r>
        <w:rPr>
          <w:rFonts w:ascii="仿宋_GB2312" w:eastAsia="仿宋_GB2312" w:hAnsi="黑体" w:hint="eastAsia"/>
          <w:sz w:val="32"/>
          <w:szCs w:val="32"/>
        </w:rPr>
        <w:t>87.8892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万元。主要原因：</w:t>
      </w:r>
      <w:r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2021</w:t>
      </w:r>
      <w:r>
        <w:rPr>
          <w:rFonts w:ascii="仿宋_GB2312" w:eastAsia="仿宋_GB2312" w:hAnsi="黑体" w:hint="eastAsia"/>
          <w:sz w:val="32"/>
          <w:szCs w:val="32"/>
        </w:rPr>
        <w:t>年两所人员正常晋升，工资调整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补缴养老保险及医疗保险</w:t>
      </w:r>
      <w:r>
        <w:rPr>
          <w:rFonts w:ascii="仿宋_GB2312" w:eastAsia="仿宋_GB2312" w:hAnsi="黑体"/>
          <w:sz w:val="32"/>
          <w:szCs w:val="32"/>
        </w:rPr>
        <w:t>。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因此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黑体"/>
          <w:color w:val="000000"/>
          <w:sz w:val="32"/>
          <w:szCs w:val="32"/>
        </w:rPr>
        <w:t>20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年财政</w:t>
      </w:r>
      <w:r>
        <w:rPr>
          <w:rFonts w:ascii="仿宋_GB2312" w:eastAsia="仿宋_GB2312" w:hAnsi="黑体"/>
          <w:color w:val="000000"/>
          <w:sz w:val="32"/>
          <w:szCs w:val="32"/>
        </w:rPr>
        <w:t>拨款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增加</w:t>
      </w:r>
      <w:r>
        <w:rPr>
          <w:rFonts w:ascii="仿宋_GB2312" w:eastAsia="仿宋_GB2312" w:hAnsi="黑体"/>
          <w:color w:val="000000"/>
          <w:sz w:val="32"/>
          <w:szCs w:val="32"/>
        </w:rPr>
        <w:t>。</w:t>
      </w:r>
    </w:p>
    <w:p w14:paraId="7E24A43D" w14:textId="77777777" w:rsidR="00D66BB5" w:rsidRDefault="00E36CE4">
      <w:pPr>
        <w:ind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（三）一般公共预算拨款支出明细情况。</w:t>
      </w:r>
    </w:p>
    <w:p w14:paraId="5EBDB9C9" w14:textId="77777777" w:rsidR="00D66BB5" w:rsidRDefault="00E36C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．一般公共预算当年拨款规模变化情况。</w:t>
      </w:r>
    </w:p>
    <w:p w14:paraId="2F8D3727" w14:textId="77777777" w:rsidR="00D66BB5" w:rsidRDefault="00E36CE4">
      <w:pPr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20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年本部门公共预算支出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98.0192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其中一般公共预算拨款支出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98.0192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t>202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年本部门</w:t>
      </w:r>
      <w:r>
        <w:rPr>
          <w:rFonts w:ascii="仿宋_GB2312" w:eastAsia="仿宋_GB2312" w:hAnsi="黑体"/>
          <w:sz w:val="32"/>
          <w:szCs w:val="32"/>
        </w:rPr>
        <w:t>预算支出较上年</w:t>
      </w:r>
      <w:r>
        <w:rPr>
          <w:rFonts w:ascii="仿宋_GB2312" w:eastAsia="仿宋_GB2312" w:hAnsi="黑体" w:hint="eastAsia"/>
          <w:sz w:val="32"/>
          <w:szCs w:val="32"/>
        </w:rPr>
        <w:t>增加</w:t>
      </w:r>
      <w:r>
        <w:rPr>
          <w:rFonts w:ascii="仿宋_GB2312" w:eastAsia="仿宋_GB2312" w:hAnsi="黑体" w:hint="eastAsia"/>
          <w:sz w:val="32"/>
          <w:szCs w:val="32"/>
        </w:rPr>
        <w:t>87.8892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仿宋_GB2312" w:eastAsia="仿宋_GB2312" w:hAnsi="黑体"/>
          <w:sz w:val="32"/>
          <w:szCs w:val="32"/>
        </w:rPr>
        <w:t>，主要原因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2021</w:t>
      </w:r>
      <w:r>
        <w:rPr>
          <w:rFonts w:ascii="仿宋_GB2312" w:eastAsia="仿宋_GB2312" w:hAnsi="黑体" w:hint="eastAsia"/>
          <w:sz w:val="32"/>
          <w:szCs w:val="32"/>
        </w:rPr>
        <w:t>年两所人员正常晋升，工资调整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补缴养老保险及医疗保险</w:t>
      </w:r>
      <w:r>
        <w:rPr>
          <w:rFonts w:ascii="仿宋_GB2312" w:eastAsia="仿宋_GB2312" w:hAnsi="黑体"/>
          <w:sz w:val="32"/>
          <w:szCs w:val="32"/>
        </w:rPr>
        <w:t>。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因此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黑体"/>
          <w:color w:val="000000"/>
          <w:sz w:val="32"/>
          <w:szCs w:val="32"/>
        </w:rPr>
        <w:t>20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年财政</w:t>
      </w:r>
      <w:r>
        <w:rPr>
          <w:rFonts w:ascii="仿宋_GB2312" w:eastAsia="仿宋_GB2312" w:hAnsi="黑体"/>
          <w:color w:val="000000"/>
          <w:sz w:val="32"/>
          <w:szCs w:val="32"/>
        </w:rPr>
        <w:t>拨款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增加</w:t>
      </w:r>
      <w:r>
        <w:rPr>
          <w:rFonts w:ascii="仿宋_GB2312" w:eastAsia="仿宋_GB2312" w:hAnsi="黑体"/>
          <w:color w:val="000000"/>
          <w:sz w:val="32"/>
          <w:szCs w:val="32"/>
        </w:rPr>
        <w:t>。</w:t>
      </w:r>
    </w:p>
    <w:p w14:paraId="5789928E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、支出按功能科目分类的明细情况。</w:t>
      </w:r>
    </w:p>
    <w:p w14:paraId="53C8450D" w14:textId="77777777" w:rsidR="00D66BB5" w:rsidRDefault="00E36C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本部门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年一般公共预算支出</w:t>
      </w:r>
      <w:r>
        <w:rPr>
          <w:rFonts w:ascii="仿宋_GB2312" w:eastAsia="仿宋_GB2312" w:hAnsi="黑体" w:hint="eastAsia"/>
          <w:sz w:val="32"/>
          <w:szCs w:val="32"/>
        </w:rPr>
        <w:t>498.019236</w:t>
      </w:r>
      <w:r>
        <w:rPr>
          <w:rFonts w:ascii="仿宋_GB2312" w:eastAsia="仿宋_GB2312" w:hAnsi="黑体" w:hint="eastAsia"/>
          <w:sz w:val="32"/>
          <w:szCs w:val="32"/>
        </w:rPr>
        <w:t>万元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。其中文物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保护支出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472.165636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，住房保障支出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1536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教育培训支出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</w:p>
    <w:p w14:paraId="450DDA0A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、支出按经济科目分类的明细情况</w:t>
      </w:r>
    </w:p>
    <w:p w14:paraId="3F729510" w14:textId="77777777" w:rsidR="00D66BB5" w:rsidRDefault="00E36CE4">
      <w:pPr>
        <w:widowControl/>
        <w:spacing w:line="560" w:lineRule="exact"/>
        <w:ind w:leftChars="50" w:left="105"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年本部门一般公共预算支出</w:t>
      </w:r>
      <w:r>
        <w:rPr>
          <w:rFonts w:ascii="仿宋_GB2312" w:eastAsia="仿宋_GB2312" w:hAnsi="黑体" w:hint="eastAsia"/>
          <w:sz w:val="32"/>
          <w:szCs w:val="32"/>
        </w:rPr>
        <w:t>498.019236</w:t>
      </w:r>
      <w:r>
        <w:rPr>
          <w:rFonts w:ascii="仿宋_GB2312" w:eastAsia="仿宋_GB2312" w:hAnsi="黑体" w:cs="Times New Roman" w:hint="eastAsia"/>
          <w:sz w:val="32"/>
          <w:szCs w:val="32"/>
        </w:rPr>
        <w:t>万元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，其中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经费和公用经费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支出</w:t>
      </w:r>
      <w:r>
        <w:rPr>
          <w:rFonts w:ascii="仿宋_GB2312" w:eastAsia="仿宋_GB2312" w:hAnsi="黑体" w:cs="Times New Roman" w:hint="eastAsia"/>
          <w:sz w:val="32"/>
          <w:szCs w:val="32"/>
        </w:rPr>
        <w:t>461</w:t>
      </w:r>
      <w:r>
        <w:rPr>
          <w:rFonts w:ascii="仿宋_GB2312" w:eastAsia="仿宋_GB2312" w:hAnsi="黑体" w:cs="Times New Roman" w:hint="eastAsia"/>
          <w:sz w:val="32"/>
          <w:szCs w:val="32"/>
        </w:rPr>
        <w:t>.</w:t>
      </w:r>
      <w:r>
        <w:rPr>
          <w:rFonts w:ascii="仿宋_GB2312" w:eastAsia="仿宋_GB2312" w:hAnsi="黑体" w:cs="Times New Roman" w:hint="eastAsia"/>
          <w:sz w:val="32"/>
          <w:szCs w:val="32"/>
        </w:rPr>
        <w:t>243236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，专项经费支出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36.776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工资福利支出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419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039236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万元，较上年增加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112.609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万元，原因是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两文管所正常人员工资晋升及补缴往年养老保险等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</w:p>
    <w:p w14:paraId="29CD6214" w14:textId="77777777" w:rsidR="00D66BB5" w:rsidRDefault="00E36CE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）按照政府预算支出经济分类的类级科目说明。</w:t>
      </w:r>
    </w:p>
    <w:p w14:paraId="473855E2" w14:textId="77777777" w:rsidR="00D66BB5" w:rsidRDefault="00E36CE4">
      <w:pPr>
        <w:widowControl/>
        <w:spacing w:line="560" w:lineRule="exact"/>
        <w:ind w:leftChars="50" w:left="105"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年本部门一般公共预算支出</w:t>
      </w:r>
      <w:r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98.019236</w:t>
      </w:r>
      <w:r>
        <w:rPr>
          <w:rFonts w:ascii="仿宋_GB2312" w:eastAsia="仿宋_GB2312" w:hAnsi="黑体" w:cs="Times New Roman" w:hint="eastAsia"/>
          <w:sz w:val="32"/>
          <w:szCs w:val="32"/>
        </w:rPr>
        <w:t>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元，其中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对事业单位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经常性补助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497.519236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对事业单位资本性补助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0.5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个人和家庭的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补助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万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元。</w:t>
      </w:r>
    </w:p>
    <w:p w14:paraId="574396EB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、本部门无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年结转的一般公共预算拨款资金支出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7018AB7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（四）政府性基金预算支出情况。</w:t>
      </w:r>
    </w:p>
    <w:p w14:paraId="7133640C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本部门无当年政府性基金预算收支，并已公开空表。</w:t>
      </w:r>
    </w:p>
    <w:p w14:paraId="5B920AD5" w14:textId="77777777" w:rsidR="00D66BB5" w:rsidRDefault="00E36CE4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上年结转政府性基金预算支出情况。</w:t>
      </w:r>
    </w:p>
    <w:p w14:paraId="0CB66B91" w14:textId="77777777" w:rsidR="00D66BB5" w:rsidRDefault="00E36CE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本部门无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年结转的政府性基金预算拨款支出。</w:t>
      </w:r>
    </w:p>
    <w:p w14:paraId="4D495984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（五）国有资本经营预算拨款收支情况。</w:t>
      </w:r>
    </w:p>
    <w:p w14:paraId="11FBED81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本部门无当年国有资本经营预算拨款收支，并在财政拨款收支总体情况表中列示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08D32B75" w14:textId="77777777" w:rsidR="00D66BB5" w:rsidRDefault="00D66BB5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836E6D2" w14:textId="77777777" w:rsidR="00D66BB5" w:rsidRDefault="00E36CE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第三部分</w:t>
      </w:r>
      <w:r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Theme="minorEastAsia" w:cstheme="minorEastAsia" w:hint="eastAsia"/>
          <w:b/>
          <w:bCs/>
          <w:sz w:val="32"/>
          <w:szCs w:val="32"/>
        </w:rPr>
        <w:t>其他说明情况</w:t>
      </w:r>
    </w:p>
    <w:p w14:paraId="5D41CC6C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六、部门预算“三公”经费等预算情况说明</w:t>
      </w:r>
    </w:p>
    <w:p w14:paraId="404C25AC" w14:textId="77777777" w:rsidR="00D66BB5" w:rsidRDefault="00E36CE4">
      <w:pPr>
        <w:widowControl/>
        <w:spacing w:line="560" w:lineRule="exact"/>
        <w:ind w:leftChars="50" w:left="105"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年，本部门三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公经费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预算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元。</w:t>
      </w:r>
    </w:p>
    <w:p w14:paraId="444E1A8A" w14:textId="77777777" w:rsidR="00D66BB5" w:rsidRDefault="00E36CE4">
      <w:pPr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七、部门国有资产占有使用及资产购置情况说明</w:t>
      </w:r>
    </w:p>
    <w:p w14:paraId="035CFEEC" w14:textId="77777777" w:rsidR="00D66BB5" w:rsidRDefault="00E36C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年末，本部门所属单位共有车辆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辆；单价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万元以上的通用设备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台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套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年部门预算</w:t>
      </w:r>
      <w:r>
        <w:rPr>
          <w:rFonts w:ascii="仿宋_GB2312" w:eastAsia="仿宋_GB2312"/>
          <w:sz w:val="32"/>
          <w:szCs w:val="32"/>
        </w:rPr>
        <w:t>安排</w:t>
      </w:r>
      <w:r>
        <w:rPr>
          <w:rFonts w:ascii="仿宋_GB2312" w:eastAsia="仿宋_GB2312" w:hint="eastAsia"/>
          <w:sz w:val="32"/>
          <w:szCs w:val="32"/>
        </w:rPr>
        <w:t>购置车辆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辆；购置单价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万元以上的设备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台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套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1AC4E98" w14:textId="77777777" w:rsidR="00D66BB5" w:rsidRDefault="00E36CE4">
      <w:pPr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八、政府采购情况说明</w:t>
      </w:r>
    </w:p>
    <w:p w14:paraId="6A4FF329" w14:textId="77777777" w:rsidR="00D66BB5" w:rsidRDefault="00E36C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年本部门政府采购预算共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.5</w:t>
      </w:r>
      <w:r>
        <w:rPr>
          <w:rFonts w:ascii="仿宋_GB2312" w:eastAsia="仿宋_GB2312" w:hint="eastAsia"/>
          <w:sz w:val="32"/>
          <w:szCs w:val="32"/>
        </w:rPr>
        <w:t>万元，其中政府采购货物类预算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.5</w:t>
      </w:r>
      <w:r>
        <w:rPr>
          <w:rFonts w:ascii="仿宋_GB2312" w:eastAsia="仿宋_GB2312" w:hint="eastAsia"/>
          <w:sz w:val="32"/>
          <w:szCs w:val="32"/>
        </w:rPr>
        <w:t>万元。</w:t>
      </w:r>
    </w:p>
    <w:p w14:paraId="183052D9" w14:textId="77777777" w:rsidR="00D66BB5" w:rsidRDefault="00E36CE4">
      <w:pPr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九、部门预算绩效目标情况说明</w:t>
      </w:r>
    </w:p>
    <w:p w14:paraId="10E71857" w14:textId="77777777" w:rsidR="00D66BB5" w:rsidRDefault="00E36CE4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20</w:t>
      </w:r>
      <w:r>
        <w:rPr>
          <w:rFonts w:ascii="仿宋_GB2312" w:eastAsia="仿宋_GB2312" w:hAnsi="楷体"/>
          <w:sz w:val="32"/>
          <w:szCs w:val="32"/>
        </w:rPr>
        <w:t>2</w:t>
      </w:r>
      <w:r>
        <w:rPr>
          <w:rFonts w:ascii="仿宋_GB2312" w:eastAsia="仿宋_GB2312" w:hAnsi="楷体" w:hint="eastAsia"/>
          <w:sz w:val="32"/>
          <w:szCs w:val="32"/>
        </w:rPr>
        <w:t>1</w:t>
      </w:r>
      <w:r>
        <w:rPr>
          <w:rFonts w:ascii="仿宋_GB2312" w:eastAsia="仿宋_GB2312" w:hAnsi="楷体" w:hint="eastAsia"/>
          <w:sz w:val="32"/>
          <w:szCs w:val="32"/>
        </w:rPr>
        <w:t>年本部门实现了绩效目标管理全覆盖。</w:t>
      </w:r>
    </w:p>
    <w:p w14:paraId="0C9D7C5A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十、机关运行经费安排情况说明</w:t>
      </w:r>
    </w:p>
    <w:p w14:paraId="10B84BC2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本部门无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年结转的财政拨款机关运行费支出。</w:t>
      </w:r>
    </w:p>
    <w:p w14:paraId="093F1AC3" w14:textId="77777777" w:rsidR="00D66BB5" w:rsidRDefault="00E36CE4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十一、专业名词解释</w:t>
      </w:r>
    </w:p>
    <w:p w14:paraId="091A565B" w14:textId="46C0AEB7" w:rsidR="00D66BB5" w:rsidRDefault="00E36CE4" w:rsidP="00E36CE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机关运行经费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</w:t>
      </w:r>
    </w:p>
    <w:sectPr w:rsidR="00D66B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B464A"/>
    <w:multiLevelType w:val="singleLevel"/>
    <w:tmpl w:val="7D3B464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embedSystemFonts/>
  <w:proofState w:spelling="clean" w:grammar="clean"/>
  <w:documentProtection w:edit="form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7F745F"/>
    <w:rsid w:val="00072CBA"/>
    <w:rsid w:val="005F2C61"/>
    <w:rsid w:val="005F42E4"/>
    <w:rsid w:val="00C00F40"/>
    <w:rsid w:val="00D66BB5"/>
    <w:rsid w:val="00E36CE4"/>
    <w:rsid w:val="044538BC"/>
    <w:rsid w:val="04A805C4"/>
    <w:rsid w:val="059F2A0D"/>
    <w:rsid w:val="08867E9A"/>
    <w:rsid w:val="09FD68C4"/>
    <w:rsid w:val="0DCB4BB8"/>
    <w:rsid w:val="0FB55AC4"/>
    <w:rsid w:val="14C1360F"/>
    <w:rsid w:val="169C65B3"/>
    <w:rsid w:val="17C870C9"/>
    <w:rsid w:val="19F24C5F"/>
    <w:rsid w:val="1A25019A"/>
    <w:rsid w:val="1A6F701C"/>
    <w:rsid w:val="1DC31186"/>
    <w:rsid w:val="24E73B22"/>
    <w:rsid w:val="251554EC"/>
    <w:rsid w:val="2A452C34"/>
    <w:rsid w:val="2D3E4FD2"/>
    <w:rsid w:val="35A427DE"/>
    <w:rsid w:val="35A46EDD"/>
    <w:rsid w:val="3E2A25EB"/>
    <w:rsid w:val="45E5510A"/>
    <w:rsid w:val="460E1C13"/>
    <w:rsid w:val="4A076BC2"/>
    <w:rsid w:val="514C1BF3"/>
    <w:rsid w:val="521A35B4"/>
    <w:rsid w:val="56067571"/>
    <w:rsid w:val="562F2C38"/>
    <w:rsid w:val="589F30C4"/>
    <w:rsid w:val="5E1E048F"/>
    <w:rsid w:val="5EFE760A"/>
    <w:rsid w:val="6442125C"/>
    <w:rsid w:val="66A210E1"/>
    <w:rsid w:val="6A753CD8"/>
    <w:rsid w:val="7A7B1A42"/>
    <w:rsid w:val="7A7F745F"/>
    <w:rsid w:val="7E953FD1"/>
    <w:rsid w:val="7FF8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057FACC2"/>
  <w15:docId w15:val="{5FEEEDE0-294F-45CB-BB00-9A8FD60F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hAnsi="Calibri" w:cs="黑体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郭超(退回修改.)</dc:creator>
  <cp:lastModifiedBy>吴 娟</cp:lastModifiedBy>
  <cp:revision>3</cp:revision>
  <dcterms:created xsi:type="dcterms:W3CDTF">2019-10-12T01:15:00Z</dcterms:created>
  <dcterms:modified xsi:type="dcterms:W3CDTF">2021-03-23T06:38:00Z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